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8A3D" w14:textId="77777777" w:rsidR="00513BC4" w:rsidRDefault="00000000">
      <w:pPr>
        <w:pStyle w:val="Heading1"/>
      </w:pPr>
      <w:r>
        <w:t>Assured Shorthold Tenancy Agreement (AST)</w:t>
      </w:r>
    </w:p>
    <w:p w14:paraId="0D190494" w14:textId="77777777" w:rsidR="00513BC4" w:rsidRDefault="00000000">
      <w:pPr>
        <w:spacing w:before="480" w:after="120"/>
      </w:pPr>
      <w:r>
        <w:t>© Net Lawman Limited 2024</w:t>
      </w:r>
    </w:p>
    <w:p w14:paraId="13D16102" w14:textId="77777777" w:rsidR="00513BC4" w:rsidRDefault="00000000">
      <w:pPr>
        <w:spacing w:after="120"/>
      </w:pPr>
      <w:r>
        <w:t>Last revised: 24 April 2024</w:t>
      </w:r>
    </w:p>
    <w:p w14:paraId="628348E4" w14:textId="77777777" w:rsidR="00513BC4" w:rsidRDefault="00000000">
      <w:pPr>
        <w:spacing w:after="120"/>
        <w:rPr>
          <w:rFonts w:cstheme="minorHAnsi"/>
          <w:b/>
          <w:bCs/>
          <w:sz w:val="28"/>
          <w:szCs w:val="28"/>
        </w:rPr>
      </w:pPr>
      <w:r>
        <w:t>Licensed for use by Landlord Vision</w:t>
      </w:r>
    </w:p>
    <w:p w14:paraId="61903163" w14:textId="77777777" w:rsidR="00513BC4" w:rsidRDefault="00000000">
      <w:r>
        <w:br w:type="page"/>
      </w:r>
    </w:p>
    <w:p w14:paraId="73C385A4" w14:textId="77777777" w:rsidR="00513BC4" w:rsidRDefault="00000000">
      <w:r>
        <w:lastRenderedPageBreak/>
        <w:t>This agreement is dated: 26 April 2024</w:t>
      </w:r>
    </w:p>
    <w:p w14:paraId="2EEAED40" w14:textId="77777777" w:rsidR="00513BC4" w:rsidRDefault="00000000">
      <w:pPr>
        <w:pStyle w:val="ListParagraphLevel1"/>
        <w:numPr>
          <w:ilvl w:val="0"/>
          <w:numId w:val="1"/>
        </w:numPr>
        <w:spacing w:before="600" w:after="320"/>
        <w:ind w:left="425" w:hanging="425"/>
        <w:rPr>
          <w:b/>
        </w:rPr>
      </w:pPr>
      <w:r>
        <w:rPr>
          <w:b/>
        </w:rPr>
        <w:t>Parties to this agreement</w:t>
      </w:r>
    </w:p>
    <w:p w14:paraId="059C6FB8" w14:textId="77777777" w:rsidR="00513BC4" w:rsidRDefault="00000000">
      <w:r>
        <w:t>The 'Landlord' means the following people:</w:t>
      </w:r>
    </w:p>
    <w:p w14:paraId="5D76938C" w14:textId="77777777" w:rsidR="00513BC4" w:rsidRDefault="00000000">
      <w:r>
        <w:t>Maris Steinbergs of 31 Leam Road, Leamington Spa, CV31 3PA</w:t>
      </w:r>
    </w:p>
    <w:p w14:paraId="29075A6C" w14:textId="77777777" w:rsidR="00513BC4" w:rsidRDefault="00000000">
      <w:r>
        <w:t>Anthony Connolly of 14 Bathway Rd, Coventry, CV3 6EE</w:t>
      </w:r>
    </w:p>
    <w:p w14:paraId="1A249EAE" w14:textId="172D85B2" w:rsidR="00513BC4" w:rsidRDefault="00000000">
      <w:r>
        <w:t>The 'Tenant' means the following people:</w:t>
      </w:r>
      <w:r w:rsidR="004B241F">
        <w:t xml:space="preserve"> Mr. Smith</w:t>
      </w:r>
    </w:p>
    <w:p w14:paraId="3DB9FE20" w14:textId="77777777" w:rsidR="00513BC4" w:rsidRDefault="00000000">
      <w:pPr>
        <w:pStyle w:val="ListParagraphLevel1"/>
        <w:numPr>
          <w:ilvl w:val="0"/>
          <w:numId w:val="1"/>
        </w:numPr>
        <w:spacing w:before="600" w:after="320"/>
        <w:ind w:left="425" w:hanging="425"/>
        <w:rPr>
          <w:b/>
        </w:rPr>
      </w:pPr>
      <w:r>
        <w:rPr>
          <w:b/>
        </w:rPr>
        <w:t>Summary of terms</w:t>
      </w:r>
    </w:p>
    <w:p w14:paraId="38AF60F9" w14:textId="553511F4" w:rsidR="00C24F26" w:rsidRDefault="00C24F26">
      <w:r>
        <w:t xml:space="preserve">The property let by this agreement is: Studio </w:t>
      </w:r>
      <w:r w:rsidR="004B241F">
        <w:t>6</w:t>
      </w:r>
      <w:r>
        <w:t xml:space="preserve"> at </w:t>
      </w:r>
      <w:r w:rsidR="004B241F">
        <w:t>19</w:t>
      </w:r>
      <w:r>
        <w:t xml:space="preserve"> Queens Road, COVENTRY, CV1 3EG.</w:t>
      </w:r>
    </w:p>
    <w:p w14:paraId="55440C0D" w14:textId="4411F702" w:rsidR="00513BC4" w:rsidRDefault="00C24F26">
      <w:r>
        <w:t xml:space="preserve"> The Rent is: £8</w:t>
      </w:r>
      <w:r w:rsidR="00AD1EF1">
        <w:t>68</w:t>
      </w:r>
      <w:r>
        <w:t xml:space="preserve"> for every four weeks in advance by equal 4-weekly payments during the term of the lease with the first payment due on 26/04/2024.</w:t>
      </w:r>
    </w:p>
    <w:p w14:paraId="025BB572" w14:textId="64E5E6E5" w:rsidR="00C24F26" w:rsidRDefault="00C24F26">
      <w:r>
        <w:t xml:space="preserve"> Rent should be paid according to the attached to the lease Tenant’s payment schedule. Charges for late payment: If the Tenant fails to pay within 7 days of the due date any amount of the rent or other sum payable to </w:t>
      </w:r>
      <w:r w:rsidR="005D3C55">
        <w:t xml:space="preserve">the </w:t>
      </w:r>
      <w:r>
        <w:t>Landlord under this Tenancy agreement, the Tenant will be liable to a charge calculated at a rate equivalent to the payment that would have been payable multiplied by the interest at the rate of 3% above the Bank of England’s annual percentage rate for each day that payment is outstanding. The Deposit is: £450. The Fixed Term is a period of: 6 months starting on 26/</w:t>
      </w:r>
      <w:r w:rsidR="005D3C55">
        <w:t>04/2024</w:t>
      </w:r>
      <w:r>
        <w:t>. Lease end date</w:t>
      </w:r>
      <w:r w:rsidR="005D3C55">
        <w:t xml:space="preserve"> 0ctobe 25</w:t>
      </w:r>
      <w:proofErr w:type="gramStart"/>
      <w:r w:rsidR="005D3C55">
        <w:t xml:space="preserve">th </w:t>
      </w:r>
      <w:r>
        <w:t xml:space="preserve"> 2024</w:t>
      </w:r>
      <w:proofErr w:type="gramEnd"/>
      <w:r>
        <w:t xml:space="preserve">. Utility bills, Council Tax and internet are </w:t>
      </w:r>
      <w:r w:rsidR="005D3C55">
        <w:t xml:space="preserve">all </w:t>
      </w:r>
      <w:r>
        <w:t>included.</w:t>
      </w:r>
      <w:r w:rsidR="005D3C55">
        <w:t xml:space="preserve"> </w:t>
      </w:r>
    </w:p>
    <w:p w14:paraId="2E8F4290" w14:textId="77777777" w:rsidR="00513BC4" w:rsidRDefault="00000000">
      <w:r>
        <w:t>The Deposit is: £450.</w:t>
      </w:r>
    </w:p>
    <w:p w14:paraId="48F9611C" w14:textId="77777777" w:rsidR="00513BC4" w:rsidRDefault="00000000">
      <w:r>
        <w:t>The Fixed Term is a period of: 6 months starting on 26 April 2024.</w:t>
      </w:r>
    </w:p>
    <w:p w14:paraId="220F3E00" w14:textId="77777777" w:rsidR="00513BC4" w:rsidRDefault="00000000">
      <w:pPr>
        <w:pStyle w:val="ListParagraphLevel1"/>
        <w:numPr>
          <w:ilvl w:val="0"/>
          <w:numId w:val="0"/>
        </w:numPr>
        <w:spacing w:before="600" w:after="320"/>
        <w:ind w:left="425"/>
        <w:rPr>
          <w:b/>
        </w:rPr>
      </w:pPr>
      <w:r>
        <w:rPr>
          <w:b/>
        </w:rPr>
        <w:t>It is now agreed as follows:</w:t>
      </w:r>
    </w:p>
    <w:p w14:paraId="3DCA3CC6" w14:textId="77777777" w:rsidR="00513BC4" w:rsidRDefault="00000000">
      <w:pPr>
        <w:pStyle w:val="ListParagraphLevel1"/>
        <w:numPr>
          <w:ilvl w:val="0"/>
          <w:numId w:val="1"/>
        </w:numPr>
        <w:spacing w:before="600" w:after="320"/>
        <w:ind w:left="425" w:hanging="425"/>
        <w:rPr>
          <w:b/>
        </w:rPr>
      </w:pPr>
      <w:r>
        <w:rPr>
          <w:b/>
        </w:rPr>
        <w:t>Definitions</w:t>
      </w:r>
    </w:p>
    <w:p w14:paraId="128A494E" w14:textId="77777777" w:rsidR="00513BC4" w:rsidRDefault="00000000">
      <w:r>
        <w:t>The following definitions apply to this agreement.</w:t>
      </w:r>
    </w:p>
    <w:p w14:paraId="5E2AF2DA" w14:textId="77777777" w:rsidR="00513BC4" w:rsidRDefault="00000000">
      <w:pPr>
        <w:ind w:left="3544" w:hanging="3119"/>
      </w:pPr>
      <w:r>
        <w:t>'Building'</w:t>
      </w:r>
      <w:r>
        <w:tab/>
        <w:t>means the building or buildings of which the Flat forms part, together with paths, drive, entranceway, stairs, landing, gardens, structures, systems and drains and any other features and amenities.</w:t>
      </w:r>
    </w:p>
    <w:p w14:paraId="30B373E8" w14:textId="77777777" w:rsidR="00513BC4" w:rsidRDefault="00000000">
      <w:pPr>
        <w:ind w:left="3544" w:hanging="3119"/>
      </w:pPr>
      <w:r>
        <w:t>'Contents'</w:t>
      </w:r>
      <w:r>
        <w:tab/>
        <w:t>means any furniture, fixtures and fittings for whose condition the Tenant is responsible.</w:t>
      </w:r>
    </w:p>
    <w:p w14:paraId="6F725588" w14:textId="77777777" w:rsidR="00513BC4" w:rsidRDefault="00000000">
      <w:pPr>
        <w:ind w:left="3544" w:hanging="3119"/>
      </w:pPr>
      <w:r>
        <w:lastRenderedPageBreak/>
        <w:t>'Deposit'</w:t>
      </w:r>
      <w:r>
        <w:tab/>
        <w:t>means the deposit which will be paid by the Tenant on or before the date of this agreement against the cost to the Landlord of making good loss or damage caused by any breach of this agreement by the Tenant.</w:t>
      </w:r>
    </w:p>
    <w:p w14:paraId="104842D6" w14:textId="77777777" w:rsidR="00513BC4" w:rsidRDefault="00000000">
      <w:pPr>
        <w:ind w:left="3544" w:hanging="3119"/>
      </w:pPr>
      <w:r>
        <w:t>'Fixed Term'</w:t>
      </w:r>
      <w:r>
        <w:tab/>
        <w:t xml:space="preserve">means a period of 6 months starting </w:t>
      </w:r>
      <w:proofErr w:type="gramStart"/>
      <w:r>
        <w:t>on  26</w:t>
      </w:r>
      <w:proofErr w:type="gramEnd"/>
      <w:r>
        <w:t xml:space="preserve"> April 2024 during which the tenant has security of tenure.</w:t>
      </w:r>
    </w:p>
    <w:p w14:paraId="3F38CC1B" w14:textId="77777777" w:rsidR="00513BC4" w:rsidRDefault="00000000">
      <w:pPr>
        <w:ind w:left="3544" w:hanging="3119"/>
      </w:pPr>
      <w:r>
        <w:t>'Flat'</w:t>
      </w:r>
      <w:r>
        <w:tab/>
        <w:t>means the property at 24 Queens Road, Coventry, CV1 3EG.</w:t>
      </w:r>
    </w:p>
    <w:p w14:paraId="00FB02C7" w14:textId="77777777" w:rsidR="00513BC4" w:rsidRDefault="00000000">
      <w:pPr>
        <w:ind w:left="3544" w:hanging="3119"/>
      </w:pPr>
      <w:r>
        <w:t>'Inventory'</w:t>
      </w:r>
      <w:r>
        <w:tab/>
        <w:t>means an itemised schedule of condition of the Contents of the Room and the Flat and agreed by both parties.</w:t>
      </w:r>
    </w:p>
    <w:p w14:paraId="38A62D0A" w14:textId="77777777" w:rsidR="00513BC4" w:rsidRDefault="00000000">
      <w:pPr>
        <w:ind w:left="3544" w:hanging="3119"/>
      </w:pPr>
      <w:r>
        <w:t>'Reasonable Wear and Tear'</w:t>
      </w:r>
      <w:r>
        <w:tab/>
        <w:t>means the gradual reduction in quality and finish that would be expected from normal, careful use, to the extent that would reasonably be expected for that particular item of loose property, furniture, fixture or fitting over the relevant period of time.</w:t>
      </w:r>
    </w:p>
    <w:p w14:paraId="5A1A9A92" w14:textId="77777777" w:rsidR="00513BC4" w:rsidRDefault="00000000">
      <w:pPr>
        <w:ind w:left="3544" w:hanging="3119"/>
      </w:pPr>
      <w:r>
        <w:t>'Room'</w:t>
      </w:r>
      <w:r>
        <w:tab/>
        <w:t>means the room described as Studio Flat 9 within the Flat including rights of access, rights to use of Shared Parts and any other rights reasonably necessary for the enjoyment of the room that the Landlord can grant.</w:t>
      </w:r>
    </w:p>
    <w:p w14:paraId="49A8B259" w14:textId="77777777" w:rsidR="00513BC4" w:rsidRDefault="00000000">
      <w:pPr>
        <w:ind w:left="3544" w:hanging="3119"/>
      </w:pPr>
      <w:r>
        <w:t>'Shared Parts'</w:t>
      </w:r>
      <w:r>
        <w:tab/>
        <w:t>means rooms in the Flat, access ways (whether internal such as corridors, or external such as paths), and structures and outside areas used in common with other occupiers of the Flat.</w:t>
      </w:r>
    </w:p>
    <w:p w14:paraId="67CEDBF8" w14:textId="77777777" w:rsidR="00513BC4" w:rsidRDefault="00000000">
      <w:pPr>
        <w:pStyle w:val="ListParagraphLevel1"/>
        <w:numPr>
          <w:ilvl w:val="0"/>
          <w:numId w:val="1"/>
        </w:numPr>
        <w:spacing w:before="600" w:after="320"/>
        <w:ind w:left="425" w:hanging="425"/>
        <w:rPr>
          <w:b/>
        </w:rPr>
      </w:pPr>
      <w:r>
        <w:rPr>
          <w:b/>
        </w:rPr>
        <w:t>Interpretation</w:t>
      </w:r>
    </w:p>
    <w:p w14:paraId="05D9988E" w14:textId="77777777" w:rsidR="00513BC4" w:rsidRDefault="00000000">
      <w:r>
        <w:t>In this agreement:</w:t>
      </w:r>
    </w:p>
    <w:p w14:paraId="07BE42CD" w14:textId="77777777" w:rsidR="00513BC4" w:rsidRDefault="00000000">
      <w:pPr>
        <w:pStyle w:val="ListParagraphLevel1"/>
      </w:pPr>
      <w:r>
        <w:t>A reference to one gender shall include any or all genders and a reference to the singular may be interpreted where appropriate as a reference to the plural and vice versa.</w:t>
      </w:r>
    </w:p>
    <w:p w14:paraId="29156354" w14:textId="77777777" w:rsidR="00513BC4" w:rsidRDefault="00000000">
      <w:pPr>
        <w:pStyle w:val="ListParagraphLevel1"/>
      </w:pPr>
      <w:r>
        <w:t>A promise by the Tenant not to do something also implies that the Tenant will not allow someone else to do that same thing.</w:t>
      </w:r>
    </w:p>
    <w:p w14:paraId="3490517A" w14:textId="77777777" w:rsidR="00513BC4" w:rsidRDefault="00000000">
      <w:pPr>
        <w:pStyle w:val="ListParagraphLevel1"/>
        <w:numPr>
          <w:ilvl w:val="0"/>
          <w:numId w:val="1"/>
        </w:numPr>
        <w:spacing w:before="600" w:after="320"/>
        <w:ind w:left="425" w:hanging="425"/>
        <w:rPr>
          <w:b/>
        </w:rPr>
      </w:pPr>
      <w:r>
        <w:rPr>
          <w:b/>
        </w:rPr>
        <w:t>Creation of the tenancy</w:t>
      </w:r>
    </w:p>
    <w:p w14:paraId="1F92857F" w14:textId="77777777" w:rsidR="00513BC4" w:rsidRDefault="00000000">
      <w:pPr>
        <w:pStyle w:val="ListParagraphLevel1"/>
      </w:pPr>
      <w:r>
        <w:t>The Landlord now lets, and the Tenant now takes the Room for the duration of the tenancy and at the Rent and in accordance with the terms set out in this agreement.</w:t>
      </w:r>
    </w:p>
    <w:p w14:paraId="53181A40" w14:textId="77777777" w:rsidR="00513BC4" w:rsidRDefault="00000000">
      <w:pPr>
        <w:pStyle w:val="ListParagraphLevel1"/>
      </w:pPr>
      <w:r>
        <w:t>This agreement creates an assured shorthold tenancy as defined in Part 1, Chapter II of the Housing Act 1988. The provisions for the recovery of possession by the Landlord in Section 21 of the Act apply to this agreement.</w:t>
      </w:r>
    </w:p>
    <w:p w14:paraId="5EB3DD2B" w14:textId="77777777" w:rsidR="00513BC4" w:rsidRDefault="00000000">
      <w:pPr>
        <w:pStyle w:val="ListParagraphLevel1"/>
      </w:pPr>
      <w:r>
        <w:t>The tenancy includes the right to share the use of the Shared Parts.</w:t>
      </w:r>
    </w:p>
    <w:p w14:paraId="3538A53F" w14:textId="77777777" w:rsidR="00513BC4" w:rsidRDefault="00000000">
      <w:pPr>
        <w:pStyle w:val="ListParagraphLevel1"/>
      </w:pPr>
      <w:r>
        <w:lastRenderedPageBreak/>
        <w:t>At the end of the tenancy, the Landlord may apply to the Court to take back the possession of the Room if the Tenant has not by then vacated it.</w:t>
      </w:r>
    </w:p>
    <w:p w14:paraId="59282792" w14:textId="77777777" w:rsidR="00513BC4" w:rsidRDefault="00000000">
      <w:pPr>
        <w:pStyle w:val="ListParagraphLevel1"/>
        <w:numPr>
          <w:ilvl w:val="0"/>
          <w:numId w:val="1"/>
        </w:numPr>
        <w:spacing w:before="600" w:after="320"/>
        <w:ind w:left="425" w:hanging="425"/>
        <w:rPr>
          <w:b/>
        </w:rPr>
      </w:pPr>
      <w:r>
        <w:rPr>
          <w:b/>
        </w:rPr>
        <w:t>Rent</w:t>
      </w:r>
    </w:p>
    <w:p w14:paraId="7482E307" w14:textId="77777777" w:rsidR="00513BC4" w:rsidRDefault="00000000">
      <w:pPr>
        <w:pStyle w:val="ListParagraphLevel1"/>
      </w:pPr>
      <w:r>
        <w:t>The Rent is £870 for every four weeks in advance by equal 4-weekly payments during the term of the lease with the first payment due on 26/04/2024. The Tenant will pay the Rent by the method and at the times specified in this paragraph, with no deduction or set off for any reason.</w:t>
      </w:r>
    </w:p>
    <w:p w14:paraId="5C4C7F53" w14:textId="77777777" w:rsidR="00513BC4" w:rsidRDefault="00000000">
      <w:pPr>
        <w:pStyle w:val="ListParagraphLevel1"/>
      </w:pPr>
      <w:r>
        <w:t>Payment for Rent shall be made by standing order to an account to be specified by the Landlord.</w:t>
      </w:r>
    </w:p>
    <w:p w14:paraId="7DBD6FAF" w14:textId="77777777" w:rsidR="00513BC4" w:rsidRDefault="00000000">
      <w:pPr>
        <w:pStyle w:val="ListParagraphLevel1"/>
        <w:numPr>
          <w:ilvl w:val="0"/>
          <w:numId w:val="1"/>
        </w:numPr>
        <w:spacing w:before="600" w:after="320"/>
        <w:ind w:left="425" w:hanging="425"/>
        <w:rPr>
          <w:b/>
        </w:rPr>
      </w:pPr>
      <w:r>
        <w:rPr>
          <w:b/>
        </w:rPr>
        <w:t>The Deposit</w:t>
      </w:r>
    </w:p>
    <w:p w14:paraId="6772994A" w14:textId="77777777" w:rsidR="00513BC4" w:rsidRDefault="00000000">
      <w:pPr>
        <w:pStyle w:val="ListParagraphLevel1"/>
      </w:pPr>
      <w:r>
        <w:t>In this paragraph, 'Deposit Protection Scheme' means any scheme set up under the authority of Section 212 of the Housing Act 2004.</w:t>
      </w:r>
    </w:p>
    <w:p w14:paraId="326F8A85" w14:textId="77777777" w:rsidR="00513BC4" w:rsidRDefault="00000000">
      <w:pPr>
        <w:pStyle w:val="ListParagraphLevel1"/>
      </w:pPr>
      <w:r>
        <w:t>The Deposit shall be £450.</w:t>
      </w:r>
    </w:p>
    <w:p w14:paraId="7C21D399" w14:textId="77777777" w:rsidR="00513BC4" w:rsidRDefault="00000000">
      <w:pPr>
        <w:pStyle w:val="ListParagraphLevel1"/>
      </w:pPr>
      <w:r>
        <w:t>The Deposit shall be held by the Landlord for the duration of the tenancy, in accordance with the Law, in the scheme described in a document appended to this agreement. The Tenant acknowledges receipt of that document.</w:t>
      </w:r>
    </w:p>
    <w:p w14:paraId="38BF9922" w14:textId="77777777" w:rsidR="00513BC4" w:rsidRDefault="00000000">
      <w:pPr>
        <w:pStyle w:val="ListParagraphLevel1"/>
      </w:pPr>
      <w:r>
        <w:t>The Tenant may not claim to use the Deposit as part payment of one or more final instalments of Rent.</w:t>
      </w:r>
    </w:p>
    <w:p w14:paraId="29626D44" w14:textId="77777777" w:rsidR="00513BC4" w:rsidRDefault="00000000">
      <w:pPr>
        <w:pStyle w:val="ListParagraphLevel1"/>
      </w:pPr>
      <w:r>
        <w:t>If there is an agreement between the Tenant and the Landlord as to the amount of the Deposit to be repaid to the Tenant by the Landlord, the Landlord will return the Deposit to the Tenant after deduction of any money due to the Landlord within 10 days or a period to be agreed between the parties in light of guidance from the chosen Deposit Protection Scheme of the termination of the tenancy, provided that the Tenant has given full possession as this agreement requires.</w:t>
      </w:r>
    </w:p>
    <w:p w14:paraId="4006A138" w14:textId="77777777" w:rsidR="00513BC4" w:rsidRDefault="00000000">
      <w:pPr>
        <w:pStyle w:val="ListParagraphLevel1"/>
      </w:pPr>
      <w:r>
        <w:t>If the Landlord is entitled to make deductions for a greater sum than the Deposit, he can claim separately for the difference.</w:t>
      </w:r>
    </w:p>
    <w:p w14:paraId="5963C12D" w14:textId="77777777" w:rsidR="00513BC4" w:rsidRDefault="00000000">
      <w:pPr>
        <w:pStyle w:val="ListParagraphLevel1"/>
      </w:pPr>
      <w:r>
        <w:t>If a dispute arises between the Landlord and the Tenant about the return of the Deposit, the Landlord will deliver the amount in dispute to the scheme operator. The Operator will hold the Deposit until the conflict has been resolved.</w:t>
      </w:r>
    </w:p>
    <w:p w14:paraId="62F6C166" w14:textId="77777777" w:rsidR="00513BC4" w:rsidRDefault="00000000">
      <w:pPr>
        <w:pStyle w:val="ListParagraphLevel1"/>
      </w:pPr>
      <w:r>
        <w:t>Within 30 days of the date of this agreement the Landlord will provide to the Tenant a deposit protection certificate, as proof of protection, as confirmation that the Deposit has been protected.</w:t>
      </w:r>
    </w:p>
    <w:p w14:paraId="2F664F08" w14:textId="77777777" w:rsidR="00513BC4" w:rsidRDefault="00000000">
      <w:pPr>
        <w:pStyle w:val="ListParagraphLevel1"/>
        <w:numPr>
          <w:ilvl w:val="0"/>
          <w:numId w:val="1"/>
        </w:numPr>
        <w:spacing w:before="600" w:after="320"/>
        <w:ind w:left="425" w:hanging="425"/>
        <w:rPr>
          <w:b/>
        </w:rPr>
      </w:pPr>
      <w:r>
        <w:rPr>
          <w:b/>
        </w:rPr>
        <w:t>Agreement on the condition at the start of the tenancy</w:t>
      </w:r>
    </w:p>
    <w:p w14:paraId="02F2ABBE" w14:textId="77777777" w:rsidR="00513BC4" w:rsidRDefault="00000000">
      <w:pPr>
        <w:pStyle w:val="ListParagraphLevel1"/>
      </w:pPr>
      <w:r>
        <w:lastRenderedPageBreak/>
        <w:t>Before or within seven days of the start of the tenancy, the Landlord will make and deliver to the Tenant an Inventory of the Room and the Flat.</w:t>
      </w:r>
    </w:p>
    <w:p w14:paraId="32B35697" w14:textId="77777777" w:rsidR="00513BC4" w:rsidRDefault="00000000">
      <w:pPr>
        <w:pStyle w:val="ListParagraphLevel1"/>
      </w:pPr>
      <w:r>
        <w:t>The Tenant agrees that he will co-operate with the Landlordto provide access for the Landlord or any person instructed by him, to make an Inventory.</w:t>
      </w:r>
    </w:p>
    <w:p w14:paraId="250DAC09" w14:textId="77777777" w:rsidR="00513BC4" w:rsidRDefault="00000000">
      <w:pPr>
        <w:pStyle w:val="ListParagraphLevel1"/>
      </w:pPr>
      <w:r>
        <w:t>Within 14 days of receipt of the Inventory, the Tenant will comment upon it, and/or correct it, in whatever way he believes best preserves his own interest.</w:t>
      </w:r>
    </w:p>
    <w:p w14:paraId="188DA333" w14:textId="77777777" w:rsidR="00513BC4" w:rsidRDefault="00000000">
      <w:pPr>
        <w:pStyle w:val="ListParagraphLevel1"/>
      </w:pPr>
      <w:r>
        <w:t>The Tenant may not claim at a later date that any defect or damage was not caused by him if he failed to report it as provided above.</w:t>
      </w:r>
    </w:p>
    <w:p w14:paraId="0CBA8B69" w14:textId="77777777" w:rsidR="00513BC4" w:rsidRDefault="00000000">
      <w:pPr>
        <w:pStyle w:val="ListParagraphLevel1"/>
        <w:numPr>
          <w:ilvl w:val="0"/>
          <w:numId w:val="1"/>
        </w:numPr>
        <w:spacing w:before="600" w:after="320"/>
        <w:ind w:left="425" w:hanging="425"/>
        <w:rPr>
          <w:b/>
        </w:rPr>
      </w:pPr>
      <w:r>
        <w:rPr>
          <w:b/>
        </w:rPr>
        <w:t>Repairs and maintenance</w:t>
      </w:r>
    </w:p>
    <w:p w14:paraId="6B82F13E" w14:textId="77777777" w:rsidR="00513BC4" w:rsidRDefault="00000000">
      <w:r>
        <w:t>The Tenant now promises that he will:</w:t>
      </w:r>
    </w:p>
    <w:p w14:paraId="196DB6E9" w14:textId="77777777" w:rsidR="00513BC4" w:rsidRDefault="00000000">
      <w:pPr>
        <w:pStyle w:val="ListParagraphLevel1"/>
      </w:pPr>
      <w:r>
        <w:t>keep clean, in good repair and in accordance with the Inventory, subject to Reasonable Wear and Tear:</w:t>
      </w:r>
    </w:p>
    <w:p w14:paraId="210EC4F7" w14:textId="77777777" w:rsidR="00513BC4" w:rsidRDefault="00000000">
      <w:pPr>
        <w:pStyle w:val="ListParagraphLevel2"/>
        <w:ind w:left="1843" w:hanging="709"/>
      </w:pPr>
      <w:r>
        <w:t>the interior of the Room and the Shared Parts;</w:t>
      </w:r>
    </w:p>
    <w:p w14:paraId="4EA6F3AC" w14:textId="77777777" w:rsidR="00513BC4" w:rsidRDefault="00000000">
      <w:pPr>
        <w:pStyle w:val="ListParagraphLevel2"/>
        <w:ind w:left="1843" w:hanging="709"/>
      </w:pPr>
      <w:r>
        <w:t>the carpets, curtains and all fixtures and fittings; and</w:t>
      </w:r>
    </w:p>
    <w:p w14:paraId="75DEF34F" w14:textId="77777777" w:rsidR="00513BC4" w:rsidRDefault="00000000">
      <w:pPr>
        <w:pStyle w:val="ListParagraphLevel2"/>
        <w:ind w:left="1843" w:hanging="709"/>
      </w:pPr>
      <w:r>
        <w:t>any other items in the Inventory.</w:t>
      </w:r>
    </w:p>
    <w:p w14:paraId="05291823" w14:textId="77777777" w:rsidR="00513BC4" w:rsidRDefault="00000000">
      <w:pPr>
        <w:pStyle w:val="ListParagraphLevel1"/>
      </w:pPr>
      <w:r>
        <w:t>not redecorate the interior of the Room or the Shared Parts without the prior consent of the Landlord.</w:t>
      </w:r>
    </w:p>
    <w:p w14:paraId="148FA2B3" w14:textId="61F12E98" w:rsidR="00513BC4" w:rsidRDefault="00000000">
      <w:pPr>
        <w:pStyle w:val="ListParagraphLevel1"/>
      </w:pPr>
      <w:r>
        <w:t>not permit any</w:t>
      </w:r>
      <w:r w:rsidR="00C24F26">
        <w:t xml:space="preserve"> electrical heaters of any type</w:t>
      </w:r>
      <w:r>
        <w:t xml:space="preserve"> </w:t>
      </w:r>
      <w:r w:rsidR="00C24F26">
        <w:t xml:space="preserve">or </w:t>
      </w:r>
      <w:r>
        <w:t xml:space="preserve">oil or gas burning </w:t>
      </w:r>
      <w:proofErr w:type="gramStart"/>
      <w:r w:rsidR="00C24F26">
        <w:t xml:space="preserve">heaters </w:t>
      </w:r>
      <w:r>
        <w:t xml:space="preserve"> to</w:t>
      </w:r>
      <w:proofErr w:type="gramEnd"/>
      <w:r>
        <w:t xml:space="preserve"> be brought into the Flat.</w:t>
      </w:r>
    </w:p>
    <w:p w14:paraId="65617867" w14:textId="77777777" w:rsidR="00513BC4" w:rsidRDefault="00000000">
      <w:pPr>
        <w:pStyle w:val="ListParagraphLevel1"/>
      </w:pPr>
      <w:r>
        <w:t>not fix pictures to ceilings, walls or contents of the Room or the Shared Parts without the Landlord’s permission, which is not to be unreasonably withheld.</w:t>
      </w:r>
    </w:p>
    <w:p w14:paraId="6754FD47" w14:textId="77777777" w:rsidR="00513BC4" w:rsidRDefault="00000000">
      <w:pPr>
        <w:pStyle w:val="ListParagraphLevel1"/>
      </w:pPr>
      <w:r>
        <w:t>clean, maintain and keep free from blockages and obstructions all baths, sinks, lavatories, cisterns, drains, gutters, pipes, chimneys and the like.</w:t>
      </w:r>
    </w:p>
    <w:p w14:paraId="42858248" w14:textId="77777777" w:rsidR="00513BC4" w:rsidRDefault="00000000">
      <w:pPr>
        <w:pStyle w:val="ListParagraphLevel1"/>
      </w:pPr>
      <w:r>
        <w:t>repair any damage to the Room or the Shared Parts or to the Landlord's fixtures and fittings caused by the Tenant or by any visitor of the Tenant to the Flat, and to pay any costs incurred by the Landlord carrying out such works in default.</w:t>
      </w:r>
    </w:p>
    <w:p w14:paraId="16E3D6CE" w14:textId="77777777" w:rsidR="00513BC4" w:rsidRDefault="00000000">
      <w:pPr>
        <w:pStyle w:val="ListParagraphLevel1"/>
      </w:pPr>
      <w:r>
        <w:t>if any item becomes damaged, replace or repair it so that it reflects the condition at the start of the tenancy.</w:t>
      </w:r>
    </w:p>
    <w:p w14:paraId="3DB45DB9" w14:textId="77777777" w:rsidR="00513BC4" w:rsidRDefault="00000000">
      <w:pPr>
        <w:pStyle w:val="ListParagraphLevel1"/>
        <w:numPr>
          <w:ilvl w:val="0"/>
          <w:numId w:val="1"/>
        </w:numPr>
        <w:spacing w:before="600" w:after="320"/>
        <w:ind w:left="425" w:hanging="425"/>
        <w:rPr>
          <w:b/>
        </w:rPr>
      </w:pPr>
      <w:r>
        <w:rPr>
          <w:b/>
        </w:rPr>
        <w:t>Management and use of the Flat and Room</w:t>
      </w:r>
    </w:p>
    <w:p w14:paraId="4B7C6796" w14:textId="77777777" w:rsidR="00513BC4" w:rsidRDefault="00000000">
      <w:r>
        <w:t>The Tenant promises that he will:</w:t>
      </w:r>
    </w:p>
    <w:p w14:paraId="7E9EB61D" w14:textId="77777777" w:rsidR="00513BC4" w:rsidRDefault="00000000">
      <w:pPr>
        <w:pStyle w:val="ListParagraphLevel1"/>
      </w:pPr>
      <w:r>
        <w:lastRenderedPageBreak/>
        <w:t>use the Flat only as a residence and not operate a business from it other than one defined as a Home Business in Section 43ZA of the Landlord and Tenant Act 1954, nor use it for any improper, immoral or illegal purpose.</w:t>
      </w:r>
    </w:p>
    <w:p w14:paraId="29BD6176" w14:textId="77777777" w:rsidR="00513BC4" w:rsidRDefault="00000000">
      <w:pPr>
        <w:pStyle w:val="ListParagraphLevel1"/>
      </w:pPr>
      <w:r>
        <w:t>not sub-let or license any space in the Flat, under any arrangement whatever, including, for the avoidance of doubt, an arrangement for home exchange or short-term accommodation for money.</w:t>
      </w:r>
    </w:p>
    <w:p w14:paraId="6150A722" w14:textId="77777777" w:rsidR="00513BC4" w:rsidRDefault="00000000">
      <w:pPr>
        <w:pStyle w:val="ListParagraphLevel1"/>
      </w:pPr>
      <w:r>
        <w:t xml:space="preserve">not make any alterations, improvements or additions to the </w:t>
      </w:r>
      <w:proofErr w:type="gramStart"/>
      <w:r>
        <w:t>Building</w:t>
      </w:r>
      <w:proofErr w:type="gramEnd"/>
      <w:r>
        <w:t>.</w:t>
      </w:r>
    </w:p>
    <w:p w14:paraId="6E28B730" w14:textId="77777777" w:rsidR="00513BC4" w:rsidRDefault="00000000">
      <w:pPr>
        <w:pStyle w:val="ListParagraphLevel1"/>
      </w:pPr>
      <w:r>
        <w:t>not allow any other person to share possession or occupation of all or part of the Room or the Shared Parts.</w:t>
      </w:r>
    </w:p>
    <w:p w14:paraId="2B08A599" w14:textId="77777777" w:rsidR="00513BC4" w:rsidRDefault="00000000">
      <w:pPr>
        <w:pStyle w:val="ListParagraphLevel1"/>
      </w:pPr>
      <w:r>
        <w:t>inform all suppliers of domestic services for which the Tenant has responsibility of his name and address for the payment of bills, pay all those bills immediately on demand, and take no step which could cause the disconnection of any service.</w:t>
      </w:r>
    </w:p>
    <w:p w14:paraId="05C5AD7C" w14:textId="77777777" w:rsidR="00513BC4" w:rsidRDefault="00000000">
      <w:pPr>
        <w:pStyle w:val="ListParagraphLevel1"/>
      </w:pPr>
      <w:r>
        <w:t>not change the supplier of any of the services without consent of the Landlord, which will not be unreasonably withheld.</w:t>
      </w:r>
    </w:p>
    <w:p w14:paraId="0B9D2BCB" w14:textId="77777777" w:rsidR="00513BC4" w:rsidRDefault="00000000">
      <w:pPr>
        <w:pStyle w:val="ListParagraphLevel1"/>
      </w:pPr>
      <w:r>
        <w:t>not allow service to any fixed telephone line to be disconnected, but if he does so, to pay the charge for re-connection.</w:t>
      </w:r>
    </w:p>
    <w:p w14:paraId="27A5B1A3" w14:textId="77777777" w:rsidR="00513BC4" w:rsidRDefault="00000000">
      <w:pPr>
        <w:pStyle w:val="ListParagraphLevel1"/>
      </w:pPr>
      <w:r>
        <w:t>where applicable, empty the septic tank as often as required during the duration of the tenancy and specifically, immediately before vacating the Flat. The Tenant shall provide a receipt for this work to prove that it has been done.</w:t>
      </w:r>
    </w:p>
    <w:p w14:paraId="1A9C781C" w14:textId="77777777" w:rsidR="00513BC4" w:rsidRDefault="00000000">
      <w:pPr>
        <w:pStyle w:val="ListParagraphLevel1"/>
      </w:pPr>
      <w:r>
        <w:t>not remove from the Room or the Shared Parts any of the items listed in the Inventory.</w:t>
      </w:r>
    </w:p>
    <w:p w14:paraId="7FB87EFE" w14:textId="77777777" w:rsidR="00513BC4" w:rsidRDefault="00000000">
      <w:pPr>
        <w:pStyle w:val="ListParagraphLevel1"/>
      </w:pPr>
      <w:r>
        <w:t>not place any advertisement or notice on the exterior of the Flat or where it may be seen from outside the Room or the Shared Parts.</w:t>
      </w:r>
    </w:p>
    <w:p w14:paraId="63ECD8A6" w14:textId="77777777" w:rsidR="00513BC4" w:rsidRDefault="00000000">
      <w:pPr>
        <w:pStyle w:val="ListParagraphLevel1"/>
      </w:pPr>
      <w:r>
        <w:t>ensure that the burglar alarm, fire alarm, smoke detectors and Carbon Monoxide (CO) detectors are maintained; including replacing the batteries of the detectors when required; and notify the Landlord in writing of any defect in any detector immediately the Tenant becomes aware of it.</w:t>
      </w:r>
    </w:p>
    <w:p w14:paraId="1040343F" w14:textId="77777777" w:rsidR="00513BC4" w:rsidRDefault="00000000">
      <w:pPr>
        <w:pStyle w:val="ListParagraphLevel1"/>
      </w:pPr>
      <w:r>
        <w:t>notify the Landlord if he intends to leave the Room vacant for a period in excess of 14 consecutive days and in such a case, the Tenant shall take all reasonable steps to avoid damage from burst pipes in freezing weather.</w:t>
      </w:r>
    </w:p>
    <w:p w14:paraId="0A21037F" w14:textId="77777777" w:rsidR="00513BC4" w:rsidRDefault="00000000">
      <w:pPr>
        <w:pStyle w:val="ListParagraphLevel1"/>
      </w:pPr>
      <w:r>
        <w:t>whenever the Flat is left unattended, fasten all locks to all doors and windows and activate any burglar alarm.</w:t>
      </w:r>
    </w:p>
    <w:p w14:paraId="2F8FD1DD" w14:textId="77777777" w:rsidR="00513BC4" w:rsidRDefault="00000000">
      <w:pPr>
        <w:pStyle w:val="ListParagraphLevel1"/>
      </w:pPr>
      <w:r>
        <w:t>notify the Landlord immediately or as soon as reasonably possible in the event of any emergency or when the Tenant becomes aware of the need for maintenance or repairs.</w:t>
      </w:r>
    </w:p>
    <w:p w14:paraId="3B72E400" w14:textId="77777777" w:rsidR="00513BC4" w:rsidRDefault="00000000">
      <w:pPr>
        <w:pStyle w:val="ListParagraphLevel1"/>
      </w:pPr>
      <w:r>
        <w:t>allow the Landlord or contractors access to the Room at reasonable hours during the day, to inspect the condition or to carry out repairs or other works. The Landlord will normally give at least 3 days notice but the Tenant will give immediate access in an emergency.</w:t>
      </w:r>
    </w:p>
    <w:p w14:paraId="41A1B03D" w14:textId="77777777" w:rsidR="00513BC4" w:rsidRDefault="00000000">
      <w:pPr>
        <w:pStyle w:val="ListParagraphLevel1"/>
      </w:pPr>
      <w:r>
        <w:lastRenderedPageBreak/>
        <w:t>allow the Landlord access to the Room at reasonable hours during the final 28 days of the tenancy, to show the Room to prospective tenants or to purchasers or to anyone acting on his behalf.</w:t>
      </w:r>
    </w:p>
    <w:p w14:paraId="72F2DEA3" w14:textId="77777777" w:rsidR="00513BC4" w:rsidRDefault="00000000">
      <w:pPr>
        <w:pStyle w:val="ListParagraphLevel1"/>
      </w:pPr>
      <w:r>
        <w:t>if it is not convenient for the Tenant to be at the Flat at the time of the proposed viewing, make the keys available or grant permission for the Landlord to enter with prospective tenants.</w:t>
      </w:r>
    </w:p>
    <w:p w14:paraId="6A54022E" w14:textId="77777777" w:rsidR="00513BC4" w:rsidRDefault="00000000">
      <w:pPr>
        <w:pStyle w:val="ListParagraphLevel1"/>
        <w:numPr>
          <w:ilvl w:val="0"/>
          <w:numId w:val="1"/>
        </w:numPr>
        <w:spacing w:before="600" w:after="320"/>
        <w:ind w:left="425" w:hanging="425"/>
        <w:rPr>
          <w:b/>
        </w:rPr>
      </w:pPr>
      <w:r>
        <w:rPr>
          <w:b/>
        </w:rPr>
        <w:t>Day to day management</w:t>
      </w:r>
    </w:p>
    <w:p w14:paraId="33E49F5D" w14:textId="77777777" w:rsidR="00513BC4" w:rsidRDefault="00000000">
      <w:r>
        <w:t>The Tenant promises that he will:</w:t>
      </w:r>
    </w:p>
    <w:p w14:paraId="64C287E7" w14:textId="77777777" w:rsidR="00513BC4" w:rsidRDefault="00000000">
      <w:pPr>
        <w:pStyle w:val="ListParagraphLevel1"/>
      </w:pPr>
      <w:r>
        <w:t>maintain and keep in good order all appliances and white goods provided by the Landlord, including any refrigerator, freezer, washing machine and dishwasher.</w:t>
      </w:r>
    </w:p>
    <w:p w14:paraId="15E48FF2" w14:textId="77777777" w:rsidR="00513BC4" w:rsidRDefault="00000000">
      <w:pPr>
        <w:pStyle w:val="ListParagraphLevel1"/>
      </w:pPr>
      <w:r>
        <w:t>not smoke tobacco or any other substance inside the Flat.</w:t>
      </w:r>
    </w:p>
    <w:p w14:paraId="7C730762" w14:textId="77777777" w:rsidR="00513BC4" w:rsidRDefault="00000000">
      <w:pPr>
        <w:pStyle w:val="ListParagraphLevel1"/>
      </w:pPr>
      <w:r>
        <w:t>put out rubbish for collection by the local authority contractors in accordance with their schedule and comply fully with any recycling requirements.</w:t>
      </w:r>
    </w:p>
    <w:p w14:paraId="63EF3DF3" w14:textId="77777777" w:rsidR="00513BC4" w:rsidRDefault="00000000">
      <w:pPr>
        <w:pStyle w:val="ListParagraphLevel1"/>
      </w:pPr>
      <w:r>
        <w:t>not keep nor allow pets of any kind in the Flat without the Landlord’s written permission, which may not be withheld unreasonably.</w:t>
      </w:r>
    </w:p>
    <w:p w14:paraId="6C287D26" w14:textId="77777777" w:rsidR="00513BC4" w:rsidRDefault="00000000">
      <w:pPr>
        <w:pStyle w:val="ListParagraphLevel1"/>
      </w:pPr>
      <w:r>
        <w:t xml:space="preserve">not keep any caravan, boat, trailer or similar chattel in or around the </w:t>
      </w:r>
      <w:proofErr w:type="gramStart"/>
      <w:r>
        <w:t>Building</w:t>
      </w:r>
      <w:proofErr w:type="gramEnd"/>
      <w:r>
        <w:t>, without the Landlord's written permission.</w:t>
      </w:r>
    </w:p>
    <w:p w14:paraId="68560DE4" w14:textId="77777777" w:rsidR="00513BC4" w:rsidRDefault="00000000">
      <w:pPr>
        <w:pStyle w:val="ListParagraphLevel1"/>
      </w:pPr>
      <w:r>
        <w:t>not allow noise or operation of any sound producing (including musical) instruments or device that may be heard outside of the Flat between 22:00 hours and 8:00 hours.</w:t>
      </w:r>
    </w:p>
    <w:p w14:paraId="485FE408" w14:textId="77777777" w:rsidR="00513BC4" w:rsidRDefault="00000000">
      <w:pPr>
        <w:pStyle w:val="ListParagraphLevel1"/>
      </w:pPr>
      <w:r>
        <w:t>not hang nor allow to be hung any clothes or other articles on the outside of the Flat.</w:t>
      </w:r>
    </w:p>
    <w:p w14:paraId="21BBD895" w14:textId="77777777" w:rsidR="00513BC4" w:rsidRDefault="00000000">
      <w:pPr>
        <w:pStyle w:val="ListParagraphLevel1"/>
      </w:pPr>
      <w:r>
        <w:t>not cause nuisance or annoyance to any neighbours.</w:t>
      </w:r>
    </w:p>
    <w:p w14:paraId="3E707F28" w14:textId="77777777" w:rsidR="00513BC4" w:rsidRDefault="00000000">
      <w:pPr>
        <w:pStyle w:val="ListParagraphLevel1"/>
      </w:pPr>
      <w:r>
        <w:t>forward immediately to the Landlord any correspondence addressed to him that is delivered to or left at the Flat or has otherwise come to the attention of the Tenant.</w:t>
      </w:r>
    </w:p>
    <w:p w14:paraId="7CCAEFC1" w14:textId="77777777" w:rsidR="00513BC4" w:rsidRDefault="00000000">
      <w:pPr>
        <w:pStyle w:val="ListParagraphLevel1"/>
      </w:pPr>
      <w:r>
        <w:t>not dry clothes indoors (except through vented clothes dryers), to always vent steam at the source and not to block or close air vents, and to maintain sufficient heat in the Flat at all times to prevent freezing pipes and to reduce the possibility of condensation forming.</w:t>
      </w:r>
    </w:p>
    <w:p w14:paraId="105CB13B" w14:textId="77777777" w:rsidR="00513BC4" w:rsidRDefault="00000000">
      <w:pPr>
        <w:pStyle w:val="ListParagraphLevel1"/>
      </w:pPr>
      <w:r>
        <w:t>not arrange to have a water meter fitted without the prior consent of the Landlord, which will not be unreasonably withheld. Unless otherwise agreed any water meter shall be fitted at the expense of the Tenant.</w:t>
      </w:r>
    </w:p>
    <w:p w14:paraId="4F07F07C" w14:textId="77777777" w:rsidR="00513BC4" w:rsidRDefault="00000000">
      <w:pPr>
        <w:pStyle w:val="ListParagraphLevel1"/>
      </w:pPr>
      <w:r>
        <w:t>not install any satellite dish, radio receiver or other digital receiver without the prior written consent off the Landlord. If the Landlord permits the installation, the work must be carried out by an approved contractor. If the Landlord so requires, the Tenant must remove the installation at the end of the tenancy and make good to the premises.</w:t>
      </w:r>
    </w:p>
    <w:p w14:paraId="7EA1ACE5" w14:textId="0B774C6C" w:rsidR="00513BC4" w:rsidRDefault="00000000">
      <w:pPr>
        <w:pStyle w:val="ListParagraphLevel1"/>
      </w:pPr>
      <w:r>
        <w:lastRenderedPageBreak/>
        <w:t xml:space="preserve">not use an open fire unless the Landlord has confirmed that the chimney flue is open and correctly vented. Any damage caused by an open fire is solely </w:t>
      </w:r>
      <w:r w:rsidR="00C24F26">
        <w:t xml:space="preserve">the </w:t>
      </w:r>
      <w:r>
        <w:t xml:space="preserve">responsibility of the Tenant. No naked flame or smoking item is permitted in the Flat except a </w:t>
      </w:r>
      <w:r w:rsidR="00C24F26">
        <w:t>gas-fired</w:t>
      </w:r>
      <w:r>
        <w:t xml:space="preserve"> hob.</w:t>
      </w:r>
    </w:p>
    <w:p w14:paraId="1B72C3F5" w14:textId="77777777" w:rsidR="00513BC4" w:rsidRDefault="00000000">
      <w:pPr>
        <w:pStyle w:val="ListParagraphLevel1"/>
      </w:pPr>
      <w:r>
        <w:t>take extra care when using sinks, baths and showers or when installing or uninstalling water connected appliances to avoid the possibility of leaks which may damage walls and floor coverings and penetrate floors affecting any premises below.</w:t>
      </w:r>
    </w:p>
    <w:p w14:paraId="1CD43DBC" w14:textId="0C897A77" w:rsidR="00513BC4" w:rsidRDefault="00000000">
      <w:pPr>
        <w:pStyle w:val="ListParagraphLevel1"/>
      </w:pPr>
      <w:r>
        <w:t xml:space="preserve">not store bicycles or </w:t>
      </w:r>
      <w:r w:rsidR="00C24F26">
        <w:t>motorcycles</w:t>
      </w:r>
      <w:r>
        <w:t xml:space="preserve"> or any other large objects in common areas or passageways or exit routes which may affect other occupants of the </w:t>
      </w:r>
      <w:proofErr w:type="gramStart"/>
      <w:r>
        <w:t>Building</w:t>
      </w:r>
      <w:proofErr w:type="gramEnd"/>
      <w:r>
        <w:t xml:space="preserve"> and result in a safety hazard.</w:t>
      </w:r>
    </w:p>
    <w:p w14:paraId="155123D3" w14:textId="77777777" w:rsidR="00513BC4" w:rsidRDefault="00000000">
      <w:pPr>
        <w:pStyle w:val="ListParagraphLevel1"/>
      </w:pPr>
      <w:r>
        <w:t>keep the garden weeded, grass cut and in good condition as presented.</w:t>
      </w:r>
    </w:p>
    <w:p w14:paraId="64D816EA" w14:textId="77777777" w:rsidR="00513BC4" w:rsidRDefault="00000000">
      <w:pPr>
        <w:pStyle w:val="ListParagraphLevel1"/>
        <w:numPr>
          <w:ilvl w:val="0"/>
          <w:numId w:val="1"/>
        </w:numPr>
        <w:spacing w:before="600" w:after="320"/>
        <w:ind w:left="425" w:hanging="425"/>
        <w:rPr>
          <w:b/>
        </w:rPr>
      </w:pPr>
      <w:r>
        <w:rPr>
          <w:b/>
        </w:rPr>
        <w:t>Landlord's promises</w:t>
      </w:r>
    </w:p>
    <w:p w14:paraId="50F3F0DD" w14:textId="77777777" w:rsidR="00513BC4" w:rsidRDefault="00000000">
      <w:r>
        <w:t>The Landlord now promises that he will:</w:t>
      </w:r>
    </w:p>
    <w:p w14:paraId="396C30AB" w14:textId="77777777" w:rsidR="00513BC4" w:rsidRDefault="00000000">
      <w:pPr>
        <w:pStyle w:val="ListParagraphLevel1"/>
      </w:pPr>
      <w:r>
        <w:t>return to the Tenant any portion of Rent paid for any period that the Room cannot be inhabited as a result of fire or other risk against which the Landlord has insured.</w:t>
      </w:r>
    </w:p>
    <w:p w14:paraId="0693D68F" w14:textId="77777777" w:rsidR="00513BC4" w:rsidRDefault="00000000">
      <w:pPr>
        <w:pStyle w:val="ListParagraphLevel1"/>
      </w:pPr>
      <w:r>
        <w:t>not interrupt or interfere with the Tenant's right to quiet possession and enjoyment of the Room (provided the Tenant pays the Rent and performs all the other obligations set out in this agreement).</w:t>
      </w:r>
    </w:p>
    <w:p w14:paraId="709AD588" w14:textId="77777777" w:rsidR="00513BC4" w:rsidRDefault="00000000">
      <w:pPr>
        <w:pStyle w:val="ListParagraphLevel1"/>
        <w:numPr>
          <w:ilvl w:val="0"/>
          <w:numId w:val="1"/>
        </w:numPr>
        <w:spacing w:before="600" w:after="320"/>
        <w:ind w:left="425" w:hanging="425"/>
        <w:rPr>
          <w:b/>
        </w:rPr>
      </w:pPr>
      <w:r>
        <w:rPr>
          <w:b/>
        </w:rPr>
        <w:t>Forfeiture of the right to occupy</w:t>
      </w:r>
    </w:p>
    <w:p w14:paraId="7EFEBB56" w14:textId="77777777" w:rsidR="00513BC4" w:rsidRDefault="00000000">
      <w:pPr>
        <w:pStyle w:val="ListParagraphLevel1"/>
      </w:pPr>
      <w:r>
        <w:t>The Landlord can forfeit the right of the Tenant to occupy the Room if any of the following conditions apply:</w:t>
      </w:r>
    </w:p>
    <w:p w14:paraId="0D65D90B" w14:textId="77777777" w:rsidR="00513BC4" w:rsidRDefault="00000000">
      <w:pPr>
        <w:pStyle w:val="ListParagraphLevel2"/>
        <w:ind w:left="1843" w:hanging="709"/>
      </w:pPr>
      <w:r>
        <w:t>the Rent, or any other sum owing by the Tenant under this agreement, is overdue by 21 days or more, whether it has been formally demanded or not; or</w:t>
      </w:r>
    </w:p>
    <w:p w14:paraId="174425C8" w14:textId="77777777" w:rsidR="00513BC4" w:rsidRDefault="00000000">
      <w:pPr>
        <w:pStyle w:val="ListParagraphLevel2"/>
        <w:ind w:left="1843" w:hanging="709"/>
      </w:pPr>
      <w:r>
        <w:t>the Tenant has breached any of the terms of this agreement; or</w:t>
      </w:r>
    </w:p>
    <w:p w14:paraId="2C6A38A2" w14:textId="77777777" w:rsidR="00513BC4" w:rsidRDefault="00000000">
      <w:pPr>
        <w:pStyle w:val="ListParagraphLevel2"/>
        <w:ind w:left="1843" w:hanging="709"/>
      </w:pPr>
      <w:r>
        <w:t>the Tenant shall be made bankrupt or shall enter into any form of voluntary insolvency or bankruptcy arrangement with his creditors.</w:t>
      </w:r>
    </w:p>
    <w:p w14:paraId="020B6391" w14:textId="77777777" w:rsidR="00513BC4" w:rsidRDefault="00000000">
      <w:pPr>
        <w:pStyle w:val="ListParagraphLevel1"/>
      </w:pPr>
      <w:r>
        <w:t>The Landlord can do this by either:</w:t>
      </w:r>
    </w:p>
    <w:p w14:paraId="09F75472" w14:textId="77777777" w:rsidR="00513BC4" w:rsidRDefault="00000000">
      <w:pPr>
        <w:pStyle w:val="ListParagraphLevel2"/>
        <w:ind w:left="1843" w:hanging="709"/>
      </w:pPr>
      <w:r>
        <w:t>serving the appropriate notice and obtaining a Court order; or</w:t>
      </w:r>
    </w:p>
    <w:p w14:paraId="706F57AE" w14:textId="77777777" w:rsidR="00513BC4" w:rsidRDefault="00000000">
      <w:pPr>
        <w:pStyle w:val="ListParagraphLevel2"/>
        <w:ind w:left="1843" w:hanging="709"/>
      </w:pPr>
      <w:r>
        <w:t>re-entering the Room if it is no longer occupied by the Tenant or anyone else with a lawful right to live in it.</w:t>
      </w:r>
    </w:p>
    <w:p w14:paraId="7A839CDE" w14:textId="77777777" w:rsidR="00513BC4" w:rsidRDefault="00000000">
      <w:pPr>
        <w:pStyle w:val="ListParagraphLevel1"/>
      </w:pPr>
      <w:r>
        <w:t>If the Landlord exercises this right of forfeiture, his doing so does not prevent him from exercising any other right.</w:t>
      </w:r>
    </w:p>
    <w:p w14:paraId="2625EC82" w14:textId="77777777" w:rsidR="00513BC4" w:rsidRDefault="00000000">
      <w:pPr>
        <w:pStyle w:val="ListParagraphLevel1"/>
      </w:pPr>
      <w:r>
        <w:lastRenderedPageBreak/>
        <w:t>The Landlord may take back the possession of the Room under Ground 1 in Schedule 2 of the Housing Act 1988 (using a Court order) if he was living in the Flat as his only or main home immediately prior to this tenancy.</w:t>
      </w:r>
    </w:p>
    <w:p w14:paraId="17EEF472" w14:textId="77777777" w:rsidR="00513BC4" w:rsidRDefault="00000000">
      <w:pPr>
        <w:pStyle w:val="ListParagraphLevel1"/>
      </w:pPr>
      <w:r>
        <w:t>For any of the following reasons, which are references to the Grounds contained in Schedule 2 to the Housing Act 1988, the Landlord may seek to end the tenancy and repossess the Flat (sometimes referred to as forfeiture and re-entry) during the Fixed Term by giving the Tenant notice under section 8 of the Housing Act 1988 of his intention to apply to court for possession and, subsequently, applying to the court for a possession order:</w:t>
      </w:r>
    </w:p>
    <w:p w14:paraId="45247C40" w14:textId="77777777" w:rsidR="00513BC4" w:rsidRDefault="00000000">
      <w:pPr>
        <w:pStyle w:val="ListParagraphLevel2"/>
        <w:ind w:left="1843" w:hanging="709"/>
      </w:pPr>
      <w:r>
        <w:t>Ground 2 (the mortgagee (lender) is entitled to possession);</w:t>
      </w:r>
    </w:p>
    <w:p w14:paraId="23BF7DFD" w14:textId="77777777" w:rsidR="00513BC4" w:rsidRDefault="00000000">
      <w:pPr>
        <w:pStyle w:val="ListParagraphLevel2"/>
        <w:ind w:left="1843" w:hanging="709"/>
      </w:pPr>
      <w:r>
        <w:t>Ground 8 (at least 8 weeks’ or two months’ rent is in arrears);</w:t>
      </w:r>
    </w:p>
    <w:p w14:paraId="04512B7B" w14:textId="77777777" w:rsidR="00513BC4" w:rsidRDefault="00000000">
      <w:pPr>
        <w:pStyle w:val="ListParagraphLevel2"/>
        <w:ind w:left="1843" w:hanging="709"/>
      </w:pPr>
      <w:r>
        <w:t>Ground 10 (some rent is overdue);</w:t>
      </w:r>
    </w:p>
    <w:p w14:paraId="38FDB59F" w14:textId="77777777" w:rsidR="00513BC4" w:rsidRDefault="00000000">
      <w:pPr>
        <w:pStyle w:val="ListParagraphLevel2"/>
        <w:ind w:left="1843" w:hanging="709"/>
      </w:pPr>
      <w:r>
        <w:t>Ground 11 (the Tenant is persistently late in paying rent);</w:t>
      </w:r>
    </w:p>
    <w:p w14:paraId="782D677B" w14:textId="77777777" w:rsidR="00513BC4" w:rsidRDefault="00000000">
      <w:pPr>
        <w:pStyle w:val="ListParagraphLevel2"/>
        <w:ind w:left="1843" w:hanging="709"/>
      </w:pPr>
      <w:r>
        <w:t>Ground 12 (breach of any of the terms of this tenancy agreement);</w:t>
      </w:r>
    </w:p>
    <w:p w14:paraId="00E7C7E8" w14:textId="77777777" w:rsidR="00513BC4" w:rsidRDefault="00000000">
      <w:pPr>
        <w:pStyle w:val="ListParagraphLevel2"/>
        <w:ind w:left="1843" w:hanging="709"/>
      </w:pPr>
      <w:r>
        <w:t>Ground 13 (the condition of the property or common parts has deteriorated due to acts of the Tenant or another occupant);</w:t>
      </w:r>
    </w:p>
    <w:p w14:paraId="56ECCA40" w14:textId="77777777" w:rsidR="00513BC4" w:rsidRDefault="00000000">
      <w:pPr>
        <w:pStyle w:val="ListParagraphLevel2"/>
        <w:ind w:left="1843" w:hanging="709"/>
      </w:pPr>
      <w:r>
        <w:t>Ground 14 (the Tenant or another person residing in or visiting the property is guilty of nuisance or annoyance in the locality or convicted of a criminal offence in relation to the property or committed in the locality);</w:t>
      </w:r>
    </w:p>
    <w:p w14:paraId="5517D137" w14:textId="77777777" w:rsidR="00513BC4" w:rsidRDefault="00000000">
      <w:pPr>
        <w:pStyle w:val="ListParagraphLevel2"/>
        <w:ind w:left="1843" w:hanging="709"/>
      </w:pPr>
      <w:r>
        <w:t>Ground 15 (the condition of furniture provided under the tenancy agreement has deteriorated due to ill-treatment by the Tenant or another occupant); and</w:t>
      </w:r>
    </w:p>
    <w:p w14:paraId="0DC219BA" w14:textId="77777777" w:rsidR="00513BC4" w:rsidRDefault="00000000">
      <w:pPr>
        <w:pStyle w:val="ListParagraphLevel2"/>
        <w:ind w:left="1843" w:hanging="709"/>
      </w:pPr>
      <w:r>
        <w:t>Ground 17 (the Landlord was induced to grant the tenancy by a false statement made knowingly or recklessly by the Tenant or a person acting on the Tenant’s behalf).</w:t>
      </w:r>
    </w:p>
    <w:p w14:paraId="6A61B9E0" w14:textId="77777777" w:rsidR="00513BC4" w:rsidRDefault="00000000">
      <w:pPr>
        <w:pStyle w:val="ListParagraphLevel1"/>
      </w:pPr>
      <w:r>
        <w:t>When the Landlord serves a notice seeking possession on the Tenant, then the Tenant may seek advice about his rights from a solicitor, the Citizens Advice Bureau, or any other legal advice centre.</w:t>
      </w:r>
    </w:p>
    <w:p w14:paraId="4224C740" w14:textId="77777777" w:rsidR="00513BC4" w:rsidRDefault="00000000">
      <w:pPr>
        <w:pStyle w:val="ListParagraphLevel1"/>
        <w:numPr>
          <w:ilvl w:val="0"/>
          <w:numId w:val="1"/>
        </w:numPr>
        <w:spacing w:before="600" w:after="320"/>
        <w:ind w:left="425" w:hanging="425"/>
        <w:rPr>
          <w:b/>
        </w:rPr>
      </w:pPr>
      <w:r>
        <w:rPr>
          <w:b/>
        </w:rPr>
        <w:t>Insurance</w:t>
      </w:r>
    </w:p>
    <w:p w14:paraId="17FCCC47" w14:textId="77777777" w:rsidR="00513BC4" w:rsidRDefault="00000000">
      <w:pPr>
        <w:pStyle w:val="ListParagraphLevel1"/>
      </w:pPr>
      <w:r>
        <w:t>The Landlord will take out whatever insurance he decides, in order to protect his interest in the Room. He will not insure any property or interest of the Tenant.</w:t>
      </w:r>
    </w:p>
    <w:p w14:paraId="58357417" w14:textId="77777777" w:rsidR="00513BC4" w:rsidRDefault="00000000">
      <w:pPr>
        <w:pStyle w:val="ListParagraphLevel1"/>
      </w:pPr>
      <w:r>
        <w:t>The Tenant shall insure his own possessions in the Room.</w:t>
      </w:r>
    </w:p>
    <w:p w14:paraId="15B38E52" w14:textId="77777777" w:rsidR="00513BC4" w:rsidRDefault="00000000">
      <w:pPr>
        <w:pStyle w:val="ListParagraphLevel1"/>
      </w:pPr>
      <w:r>
        <w:t>The Tenant acknowledges that he is liable as the lawful occupier of the Room for any liability or claim under the Occupier’s Liability Act 1984.</w:t>
      </w:r>
    </w:p>
    <w:p w14:paraId="24678BD9" w14:textId="77777777" w:rsidR="00513BC4" w:rsidRDefault="00000000">
      <w:pPr>
        <w:pStyle w:val="ListParagraphLevel1"/>
        <w:numPr>
          <w:ilvl w:val="0"/>
          <w:numId w:val="1"/>
        </w:numPr>
        <w:spacing w:before="600" w:after="320"/>
        <w:ind w:left="425" w:hanging="425"/>
        <w:rPr>
          <w:b/>
        </w:rPr>
      </w:pPr>
      <w:r>
        <w:rPr>
          <w:b/>
        </w:rPr>
        <w:t>Break clause</w:t>
      </w:r>
    </w:p>
    <w:p w14:paraId="336CD62E" w14:textId="77777777" w:rsidR="00513BC4" w:rsidRDefault="00000000">
      <w:r>
        <w:lastRenderedPageBreak/>
        <w:t>The Tenant may terminate the tenancy at any time by giving the Landlord in writing not less than two calendar months notice such that the tenancy terminates on a Rent due date on or after the date of the end of the Fixed Term.</w:t>
      </w:r>
    </w:p>
    <w:p w14:paraId="71616E16" w14:textId="77777777" w:rsidR="00513BC4" w:rsidRDefault="00000000">
      <w:pPr>
        <w:pStyle w:val="ListParagraphLevel1"/>
        <w:numPr>
          <w:ilvl w:val="0"/>
          <w:numId w:val="1"/>
        </w:numPr>
        <w:spacing w:before="600" w:after="320"/>
        <w:ind w:left="425" w:hanging="425"/>
        <w:rPr>
          <w:b/>
        </w:rPr>
      </w:pPr>
      <w:r>
        <w:rPr>
          <w:b/>
        </w:rPr>
        <w:t>Termination before the expiry of the Fixed Term</w:t>
      </w:r>
    </w:p>
    <w:p w14:paraId="41C937DB" w14:textId="77777777" w:rsidR="00513BC4" w:rsidRDefault="00000000">
      <w:pPr>
        <w:pStyle w:val="ListParagraphLevel1"/>
      </w:pPr>
      <w:r>
        <w:t>The Fixed Term is a period in which the Tenant has security of tenure and the Landlord can be assured of a certain rental income. As such, termination of the tenancy before the expiry of the Fixed Term may only take place by mutual agreement of the Tenant and the Landlord and neither party has an obligation to accept a proposal by the other.</w:t>
      </w:r>
    </w:p>
    <w:p w14:paraId="5F709BC2" w14:textId="77777777" w:rsidR="00513BC4" w:rsidRDefault="00000000">
      <w:pPr>
        <w:pStyle w:val="ListParagraphLevel1"/>
      </w:pPr>
      <w:r>
        <w:t>Where the Tenancy is terminated during the Fixed Term, unless otherwise agreed, the Tenant and the Landlord shall have the same obligations as if the Tenancy were terminated at the end of the Fixed Term.</w:t>
      </w:r>
    </w:p>
    <w:p w14:paraId="7E143B16" w14:textId="77777777" w:rsidR="00513BC4" w:rsidRDefault="00000000">
      <w:pPr>
        <w:pStyle w:val="ListParagraphLevel1"/>
      </w:pPr>
      <w:r>
        <w:t>Acceptance by the Landlord of termination before the expiry of the Fixed Term may be subject to additional terms, for example, making good any loss incurred by the Landlord as a result of such termination.</w:t>
      </w:r>
    </w:p>
    <w:p w14:paraId="692BC47C" w14:textId="77777777" w:rsidR="00513BC4" w:rsidRDefault="00000000">
      <w:pPr>
        <w:pStyle w:val="ListParagraphLevel1"/>
        <w:numPr>
          <w:ilvl w:val="0"/>
          <w:numId w:val="1"/>
        </w:numPr>
        <w:spacing w:before="600" w:after="320"/>
        <w:ind w:left="425" w:hanging="425"/>
        <w:rPr>
          <w:b/>
        </w:rPr>
      </w:pPr>
      <w:r>
        <w:rPr>
          <w:b/>
        </w:rPr>
        <w:t>Continuation after the Fixed Term</w:t>
      </w:r>
    </w:p>
    <w:p w14:paraId="4F1DAEE0" w14:textId="77777777" w:rsidR="00513BC4" w:rsidRDefault="00000000">
      <w:pPr>
        <w:pStyle w:val="ListParagraphLevel1"/>
      </w:pPr>
      <w:r>
        <w:t>After the expiry of the Fixed Term, the tenancy shall continue as a contractual periodic tenancy, on the same terms as during the Fixed Term so far as can be applied, until either party terminates it by giving notice as provided in law or this agreement.</w:t>
      </w:r>
    </w:p>
    <w:p w14:paraId="40CA9B72" w14:textId="77777777" w:rsidR="00513BC4" w:rsidRDefault="00000000">
      <w:pPr>
        <w:pStyle w:val="ListParagraphLevel1"/>
      </w:pPr>
      <w:r>
        <w:t>For the avoidance of doubt, nothing in this agreement creates a statutory periodic tenancy.</w:t>
      </w:r>
    </w:p>
    <w:p w14:paraId="37BA369C" w14:textId="77777777" w:rsidR="00513BC4" w:rsidRDefault="00000000">
      <w:pPr>
        <w:pStyle w:val="ListParagraphLevel1"/>
        <w:numPr>
          <w:ilvl w:val="0"/>
          <w:numId w:val="1"/>
        </w:numPr>
        <w:spacing w:before="600" w:after="320"/>
        <w:ind w:left="425" w:hanging="425"/>
        <w:rPr>
          <w:b/>
        </w:rPr>
      </w:pPr>
      <w:r>
        <w:rPr>
          <w:b/>
        </w:rPr>
        <w:t>Tenant's departure</w:t>
      </w:r>
    </w:p>
    <w:p w14:paraId="7DCDE279" w14:textId="77777777" w:rsidR="00513BC4" w:rsidRDefault="00000000">
      <w:pPr>
        <w:pStyle w:val="ListParagraphLevel1"/>
      </w:pPr>
      <w:r>
        <w:t>Termination shall not affect the rights and obligations of either party in respect of any prior breach of this agreement.</w:t>
      </w:r>
    </w:p>
    <w:p w14:paraId="5E763A0F" w14:textId="77777777" w:rsidR="00513BC4" w:rsidRDefault="00000000">
      <w:r>
        <w:t>At the end of the tenancy the Tenant will:</w:t>
      </w:r>
    </w:p>
    <w:p w14:paraId="789E4642" w14:textId="77777777" w:rsidR="00513BC4" w:rsidRDefault="00000000">
      <w:pPr>
        <w:pStyle w:val="ListParagraphLevel1"/>
      </w:pPr>
      <w:r>
        <w:t>obtain up-to-date bills for all services and will promptly pay the suppliers.</w:t>
      </w:r>
    </w:p>
    <w:p w14:paraId="6AFA58FF" w14:textId="77777777" w:rsidR="00513BC4" w:rsidRDefault="00000000">
      <w:pPr>
        <w:pStyle w:val="ListParagraphLevel1"/>
      </w:pPr>
      <w:r>
        <w:t>return all keys to the Flat and the Room provided by the Landlord and any extra keys that have been cut, and pay any costs involved in replacing missing keys and in any necessary lock replacements due to lost keys or lock changes by the Tenant.</w:t>
      </w:r>
    </w:p>
    <w:p w14:paraId="213514C4" w14:textId="77777777" w:rsidR="00513BC4" w:rsidRDefault="00000000">
      <w:pPr>
        <w:pStyle w:val="ListParagraphLevel1"/>
      </w:pPr>
      <w:r>
        <w:t>pay for and provide receipts for the professional cleaning of the interior of the Room (including the glass in the windows).</w:t>
      </w:r>
    </w:p>
    <w:p w14:paraId="0C6A6CDC" w14:textId="77777777" w:rsidR="00513BC4" w:rsidRDefault="00000000">
      <w:pPr>
        <w:pStyle w:val="ListParagraphLevel1"/>
      </w:pPr>
      <w:r>
        <w:t>remove all his furniture and other personal possessions.</w:t>
      </w:r>
    </w:p>
    <w:p w14:paraId="69DEFC9A" w14:textId="77777777" w:rsidR="00513BC4" w:rsidRDefault="00000000">
      <w:pPr>
        <w:pStyle w:val="ListParagraphLevel1"/>
      </w:pPr>
      <w:r>
        <w:lastRenderedPageBreak/>
        <w:t>remove all rubbish and leave the Room clean and tidy and the Contents in the same positions and in the same condition and state of repair (Reasonable Wear and Tear excepted) as at the start of the tenancy.</w:t>
      </w:r>
    </w:p>
    <w:p w14:paraId="2A8D8121" w14:textId="77777777" w:rsidR="00513BC4" w:rsidRDefault="00000000">
      <w:pPr>
        <w:pStyle w:val="ListParagraphLevel1"/>
      </w:pPr>
      <w:r>
        <w:t>If the Tenant leaves personal possessions or any other goods in the Flat, the Landlord will give 14 days’ notice to the Tenant to collect them by arrangement. If the Tenant fails to collect them, the Landlord will dispose of them under the terms of the Uncollected Goods Act 1977. If the Landlord incurs any costs related to these goods, for example, for storage or for disposal, then those costs will be charged to the Tenant or deducted from any balance of proceeds of sale due to the Tenant.</w:t>
      </w:r>
    </w:p>
    <w:p w14:paraId="119F9905" w14:textId="77777777" w:rsidR="00513BC4" w:rsidRDefault="00000000">
      <w:pPr>
        <w:pStyle w:val="ListParagraphLevel1"/>
      </w:pPr>
      <w:r>
        <w:t>pay the reasonable legal and other costs of the Landlord incurred in recovering possession of the Room, recovering unpaid rent, and in any other activity undertaken with a view to enforcing this agreement, whether or not successful.</w:t>
      </w:r>
    </w:p>
    <w:p w14:paraId="32BE19FA" w14:textId="77777777" w:rsidR="00513BC4" w:rsidRDefault="00000000">
      <w:pPr>
        <w:pStyle w:val="ListParagraphLevel1"/>
        <w:numPr>
          <w:ilvl w:val="0"/>
          <w:numId w:val="1"/>
        </w:numPr>
        <w:spacing w:before="600" w:after="320"/>
        <w:ind w:left="425" w:hanging="425"/>
        <w:rPr>
          <w:b/>
        </w:rPr>
      </w:pPr>
      <w:r>
        <w:rPr>
          <w:b/>
        </w:rPr>
        <w:t>Inventory and return of the Deposit</w:t>
      </w:r>
    </w:p>
    <w:p w14:paraId="41F75866" w14:textId="77777777" w:rsidR="00513BC4" w:rsidRDefault="00000000">
      <w:pPr>
        <w:pStyle w:val="ListParagraphLevel1"/>
      </w:pPr>
      <w:r>
        <w:t>When the Tenant or the Landlord has given notice to terminate the tenancy, the parties shall agree a time and date no later than seven days after the end of the tenancy, when an Inventory or schedule of damage shall be prepared by the Landlord. At any time, the Landlord may take meter readings for gas, water, electricity, and any other service.</w:t>
      </w:r>
    </w:p>
    <w:p w14:paraId="49070CF5" w14:textId="77777777" w:rsidR="00513BC4" w:rsidRDefault="00000000">
      <w:pPr>
        <w:pStyle w:val="ListParagraphLevel1"/>
      </w:pPr>
      <w:r>
        <w:t>Any delay by the Tenant or failure to co-operate will be a ground for the Landlord to delay returning the Deposit.</w:t>
      </w:r>
    </w:p>
    <w:p w14:paraId="2E88ECEB" w14:textId="77777777" w:rsidR="00513BC4" w:rsidRDefault="00000000">
      <w:pPr>
        <w:pStyle w:val="ListParagraphLevel1"/>
      </w:pPr>
      <w:r>
        <w:t>The Landlord shall follow the legal procedure for the return of the Deposit. In particular, he may agree to a deduction from the Deposit of a sum that properly represents the reduction in value or the cost of repair of any item that is damaged. He may also deduct the full replacement cost of any item that is missing.</w:t>
      </w:r>
    </w:p>
    <w:p w14:paraId="55F5CC03" w14:textId="77777777" w:rsidR="00513BC4" w:rsidRDefault="00000000">
      <w:pPr>
        <w:pStyle w:val="ListParagraphLevel1"/>
      </w:pPr>
      <w:r>
        <w:t>In the case where the Landlord chooses to have an item repaired or replaced, he shall send a copy of the invoice or receipt to the Tenant within seven days of the repair date. The Landlord is permitted to deduct this amount from the Deposit.</w:t>
      </w:r>
    </w:p>
    <w:p w14:paraId="51A0645C" w14:textId="77777777" w:rsidR="00513BC4" w:rsidRDefault="00000000">
      <w:pPr>
        <w:pStyle w:val="ListParagraphLevel1"/>
      </w:pPr>
      <w:r>
        <w:t>If the Tenant does not agree to a sum claimed but not yet expended, the Landlord must obtain a written quotation for the cost of rectification from a contractor not connected to him.</w:t>
      </w:r>
    </w:p>
    <w:p w14:paraId="1136EC06" w14:textId="77777777" w:rsidR="00513BC4" w:rsidRDefault="00000000">
      <w:pPr>
        <w:pStyle w:val="ListParagraphLevel1"/>
      </w:pPr>
      <w:r>
        <w:t>The Landlord may then accept the quotation and pay for the work. He must provide copies of the quotation and the subsequent invoice to the Tenant. He may then deduct the sum paid from the Deposit.</w:t>
      </w:r>
    </w:p>
    <w:p w14:paraId="03096A6A" w14:textId="77777777" w:rsidR="00513BC4" w:rsidRDefault="00000000">
      <w:pPr>
        <w:pStyle w:val="ListParagraphLevel1"/>
      </w:pPr>
      <w:r>
        <w:t>In the event of disagreement between the Landlord and the Tenant, the Tenant must contact the Landlord in writing within 20 days after the date of termination, to confirm that he does not agree with any item of the inventory check or any sum that the Landlord intends to deduct.</w:t>
      </w:r>
    </w:p>
    <w:p w14:paraId="1B441BE2" w14:textId="77777777" w:rsidR="00513BC4" w:rsidRDefault="00000000">
      <w:pPr>
        <w:pStyle w:val="ListParagraphLevel1"/>
      </w:pPr>
      <w:r>
        <w:t>The Tenant may contact the Deposit Protection Scheme operator to reclaim money alleged to be due from the Landlord.</w:t>
      </w:r>
    </w:p>
    <w:p w14:paraId="1EEE6980" w14:textId="77777777" w:rsidR="00513BC4" w:rsidRDefault="00000000">
      <w:pPr>
        <w:pStyle w:val="ListParagraphLevel1"/>
      </w:pPr>
      <w:r>
        <w:lastRenderedPageBreak/>
        <w:t>In the event of a deposit dispute the Landlord and Tenant may agree to be bound by the Deposit Scheme arbitrator, or alternatively to apply for the dispute to be transferred to the County Court.</w:t>
      </w:r>
    </w:p>
    <w:p w14:paraId="3B52070D" w14:textId="77777777" w:rsidR="00513BC4" w:rsidRDefault="00000000">
      <w:pPr>
        <w:pStyle w:val="ListParagraphLevel1"/>
        <w:numPr>
          <w:ilvl w:val="0"/>
          <w:numId w:val="1"/>
        </w:numPr>
        <w:spacing w:before="600" w:after="320"/>
        <w:ind w:left="425" w:hanging="425"/>
        <w:rPr>
          <w:b/>
        </w:rPr>
      </w:pPr>
      <w:r>
        <w:rPr>
          <w:b/>
        </w:rPr>
        <w:t>Notices</w:t>
      </w:r>
    </w:p>
    <w:p w14:paraId="54E5565D" w14:textId="77777777" w:rsidR="00513BC4" w:rsidRDefault="00000000">
      <w:pPr>
        <w:pStyle w:val="ListParagraphLevel1"/>
      </w:pPr>
      <w:r>
        <w:t>Any communication to the Tenant shall satisfy any legal requirement if sent by post either to the address of the Flat while this agreement operates, or to any alternative address provided by the Tenant.</w:t>
      </w:r>
    </w:p>
    <w:p w14:paraId="7D2F030D" w14:textId="77777777" w:rsidR="00513BC4" w:rsidRDefault="00000000">
      <w:pPr>
        <w:pStyle w:val="ListParagraphLevel1"/>
      </w:pPr>
      <w:r>
        <w:t>Any communication to be served on either of the parties by the other shall be delivered by hand or sent by post using a recorded delivery service.</w:t>
      </w:r>
    </w:p>
    <w:p w14:paraId="0F94FEB0" w14:textId="77777777" w:rsidR="00513BC4" w:rsidRDefault="00000000">
      <w:pPr>
        <w:pStyle w:val="ListParagraphLevel1"/>
      </w:pPr>
      <w:r>
        <w:t>It shall be deemed to have been delivered: on the day of delivery, if delivered by hand; or within 72 hours of posting if sent by recorded delivery to the correct address.</w:t>
      </w:r>
    </w:p>
    <w:p w14:paraId="61FB6E3E" w14:textId="77777777" w:rsidR="00513BC4" w:rsidRDefault="00000000">
      <w:pPr>
        <w:pStyle w:val="ListParagraphLevel1"/>
        <w:numPr>
          <w:ilvl w:val="0"/>
          <w:numId w:val="1"/>
        </w:numPr>
        <w:spacing w:before="600" w:after="320"/>
        <w:ind w:left="425" w:hanging="425"/>
        <w:rPr>
          <w:b/>
        </w:rPr>
      </w:pPr>
      <w:r>
        <w:rPr>
          <w:b/>
        </w:rPr>
        <w:t>Waiver</w:t>
      </w:r>
    </w:p>
    <w:p w14:paraId="05C1253B" w14:textId="77777777" w:rsidR="00513BC4" w:rsidRDefault="00000000">
      <w:r>
        <w:t>No failure or delay by any party to exercise any right, power or remedy will operate as a waiver of it nor indicate any intention to reduce that or any other right in the future.</w:t>
      </w:r>
    </w:p>
    <w:p w14:paraId="5DBE00B4" w14:textId="77777777" w:rsidR="00513BC4" w:rsidRDefault="00000000">
      <w:pPr>
        <w:pStyle w:val="ListParagraphLevel1"/>
        <w:numPr>
          <w:ilvl w:val="0"/>
          <w:numId w:val="1"/>
        </w:numPr>
        <w:spacing w:before="600" w:after="320"/>
        <w:ind w:left="425" w:hanging="425"/>
        <w:rPr>
          <w:b/>
        </w:rPr>
      </w:pPr>
      <w:r>
        <w:rPr>
          <w:b/>
        </w:rPr>
        <w:t>Jurisdiction</w:t>
      </w:r>
    </w:p>
    <w:p w14:paraId="5D2DE30A" w14:textId="77777777" w:rsidR="00513BC4" w:rsidRDefault="00000000">
      <w:r>
        <w:t>This agreement shall be governed by and interpreted in accordance with the laws of England and Wales.</w:t>
      </w:r>
    </w:p>
    <w:p w14:paraId="446BD4D1" w14:textId="77777777" w:rsidR="00513BC4" w:rsidRDefault="00513BC4">
      <w:pPr>
        <w:ind w:left="0"/>
      </w:pPr>
    </w:p>
    <w:p w14:paraId="662065B3" w14:textId="77777777" w:rsidR="005E5891" w:rsidRDefault="005E5891" w:rsidP="005E5891"/>
    <w:p w14:paraId="5539101E" w14:textId="77777777" w:rsidR="005E5891" w:rsidRDefault="005E5891" w:rsidP="005E5891"/>
    <w:p w14:paraId="7CDEDAF1" w14:textId="77777777" w:rsidR="005E5891" w:rsidRDefault="005E5891" w:rsidP="005E5891"/>
    <w:p w14:paraId="7EF54860" w14:textId="77777777" w:rsidR="005E5891" w:rsidRDefault="005E5891" w:rsidP="005E5891"/>
    <w:p w14:paraId="017AEFB4" w14:textId="77777777" w:rsidR="005E5891" w:rsidRDefault="005E5891" w:rsidP="005E5891"/>
    <w:p w14:paraId="19435762" w14:textId="77777777" w:rsidR="005E5891" w:rsidRDefault="005E5891" w:rsidP="005E5891"/>
    <w:p w14:paraId="7EB1AA30" w14:textId="77777777" w:rsidR="005E5891" w:rsidRDefault="005E5891" w:rsidP="005E5891"/>
    <w:p w14:paraId="69B93838" w14:textId="77777777" w:rsidR="005E5891" w:rsidRDefault="005E5891" w:rsidP="005E5891"/>
    <w:p w14:paraId="19AB336D" w14:textId="77777777" w:rsidR="005E5891" w:rsidRDefault="005E5891" w:rsidP="005E5891"/>
    <w:p w14:paraId="5D985196" w14:textId="377EE1DA" w:rsidR="005E5891" w:rsidRDefault="00000000" w:rsidP="005E5891">
      <w:r>
        <w:t>Signed by the Landlord and the Tenant:</w:t>
      </w:r>
      <w:r w:rsidR="005E5891">
        <w:t xml:space="preserve"> </w:t>
      </w:r>
      <w:r>
        <w:t>Maris Steinbergs</w:t>
      </w:r>
    </w:p>
    <w:p w14:paraId="216242AB" w14:textId="13F7E784" w:rsidR="005E5891" w:rsidRDefault="005E5891" w:rsidP="005E5891">
      <w:r>
        <w:rPr>
          <w:color w:val="D9D9D9" w:themeColor="background1" w:themeShade="D9"/>
        </w:rPr>
        <w:lastRenderedPageBreak/>
        <w:t xml:space="preserve"> </w:t>
      </w:r>
    </w:p>
    <w:p w14:paraId="5F206242" w14:textId="77777777" w:rsidR="005E5891" w:rsidRDefault="005E5891" w:rsidP="005E5891"/>
    <w:p w14:paraId="22F4637E" w14:textId="57E09E29" w:rsidR="00513BC4" w:rsidRDefault="00000000" w:rsidP="005E5891">
      <w:r>
        <w:t>Anthony Connolly:</w:t>
      </w:r>
      <w:r>
        <w:tab/>
      </w:r>
      <w:r>
        <w:rPr>
          <w:color w:val="D9D9D9" w:themeColor="background1" w:themeShade="D9"/>
        </w:rPr>
        <w:t>_____________________________________________</w:t>
      </w:r>
    </w:p>
    <w:p w14:paraId="61CBAEBE" w14:textId="73F5318F" w:rsidR="00513BC4" w:rsidRDefault="004B241F">
      <w:pPr>
        <w:tabs>
          <w:tab w:val="left" w:pos="3686"/>
        </w:tabs>
        <w:spacing w:before="840"/>
      </w:pPr>
      <w:r>
        <w:t>Mr Smith</w:t>
      </w:r>
      <w:r w:rsidR="00000000">
        <w:t>:</w:t>
      </w:r>
      <w:r w:rsidR="00000000">
        <w:tab/>
      </w:r>
      <w:r w:rsidR="00000000">
        <w:rPr>
          <w:color w:val="D9D9D9" w:themeColor="background1" w:themeShade="D9"/>
        </w:rPr>
        <w:t>_____________________________________________</w:t>
      </w:r>
    </w:p>
    <w:p w14:paraId="5DFB87D9" w14:textId="77777777" w:rsidR="00513BC4" w:rsidRDefault="00513BC4">
      <w:pPr>
        <w:rPr>
          <w:sz w:val="12"/>
          <w:szCs w:val="12"/>
        </w:rPr>
      </w:pPr>
    </w:p>
    <w:p w14:paraId="491A14FA" w14:textId="77777777" w:rsidR="005E5891" w:rsidRDefault="005E5891">
      <w:pPr>
        <w:tabs>
          <w:tab w:val="left" w:pos="3686"/>
        </w:tabs>
      </w:pPr>
    </w:p>
    <w:p w14:paraId="159789AB" w14:textId="57949EAD" w:rsidR="00513BC4" w:rsidRDefault="00000000">
      <w:pPr>
        <w:tabs>
          <w:tab w:val="left" w:pos="3686"/>
        </w:tabs>
      </w:pPr>
      <w:r>
        <w:t>Witness name (PRINT NAME</w:t>
      </w:r>
      <w:r w:rsidR="005D3C55">
        <w:rPr>
          <w:color w:val="D9D9D9" w:themeColor="background1" w:themeShade="D9"/>
        </w:rPr>
        <w:t>J</w:t>
      </w:r>
      <w:r>
        <w:rPr>
          <w:color w:val="D9D9D9" w:themeColor="background1" w:themeShade="D9"/>
        </w:rPr>
        <w:t>______________________________________</w:t>
      </w:r>
    </w:p>
    <w:p w14:paraId="2F5E61E2" w14:textId="058A45F6" w:rsidR="005E5891" w:rsidRDefault="00000000" w:rsidP="005E5891">
      <w:pPr>
        <w:tabs>
          <w:tab w:val="left" w:pos="3686"/>
        </w:tabs>
        <w:rPr>
          <w:color w:val="D9D9D9" w:themeColor="background1" w:themeShade="D9"/>
        </w:rPr>
      </w:pPr>
      <w:r>
        <w:t>Witness address (PRINT ADDRESS):</w:t>
      </w:r>
      <w:r>
        <w:tab/>
      </w:r>
      <w:r>
        <w:rPr>
          <w:color w:val="D9D9D9" w:themeColor="background1" w:themeShade="D9"/>
        </w:rPr>
        <w:t>__</w:t>
      </w:r>
    </w:p>
    <w:p w14:paraId="506DF737" w14:textId="42F02EC6" w:rsidR="005E5891" w:rsidRDefault="00000000" w:rsidP="005E5891">
      <w:pPr>
        <w:tabs>
          <w:tab w:val="left" w:pos="3686"/>
        </w:tabs>
        <w:rPr>
          <w:color w:val="D9D9D9" w:themeColor="background1" w:themeShade="D9"/>
        </w:rPr>
      </w:pPr>
      <w:r>
        <w:t>Witness telephone</w:t>
      </w:r>
      <w:r>
        <w:rPr>
          <w:color w:val="D9D9D9" w:themeColor="background1" w:themeShade="D9"/>
        </w:rPr>
        <w:t>_</w:t>
      </w:r>
      <w:r w:rsidR="005E5891" w:rsidRPr="005D3C55">
        <w:rPr>
          <w:b/>
          <w:bCs/>
        </w:rPr>
        <w:t>_</w:t>
      </w:r>
      <w:r>
        <w:rPr>
          <w:color w:val="D9D9D9" w:themeColor="background1" w:themeShade="D9"/>
        </w:rPr>
        <w:t>___________________________________________</w:t>
      </w:r>
    </w:p>
    <w:p w14:paraId="3F7305CC" w14:textId="17ECB868" w:rsidR="005E5891" w:rsidRDefault="00000000" w:rsidP="005E5891">
      <w:pPr>
        <w:tabs>
          <w:tab w:val="left" w:pos="3686"/>
        </w:tabs>
        <w:rPr>
          <w:color w:val="D9D9D9" w:themeColor="background1" w:themeShade="D9"/>
        </w:rPr>
      </w:pPr>
      <w:r>
        <w:t>Witness signature:</w:t>
      </w:r>
      <w:r>
        <w:tab/>
      </w:r>
    </w:p>
    <w:p w14:paraId="65292D4E" w14:textId="77777777" w:rsidR="005E5891" w:rsidRDefault="005E5891" w:rsidP="005E5891">
      <w:pPr>
        <w:tabs>
          <w:tab w:val="left" w:pos="3686"/>
        </w:tabs>
      </w:pPr>
    </w:p>
    <w:p w14:paraId="6E1D5AAE" w14:textId="44FC2855" w:rsidR="00513BC4" w:rsidRDefault="00000000" w:rsidP="005E5891">
      <w:pPr>
        <w:tabs>
          <w:tab w:val="left" w:pos="3686"/>
        </w:tabs>
      </w:pPr>
      <w:r>
        <w:tab/>
      </w:r>
      <w:r>
        <w:rPr>
          <w:color w:val="D9D9D9" w:themeColor="background1" w:themeShade="D9"/>
        </w:rPr>
        <w:t>_____________________________________________</w:t>
      </w:r>
    </w:p>
    <w:p w14:paraId="772CA544" w14:textId="77777777" w:rsidR="00513BC4" w:rsidRDefault="00513BC4">
      <w:pPr>
        <w:rPr>
          <w:sz w:val="12"/>
          <w:szCs w:val="12"/>
        </w:rPr>
      </w:pPr>
    </w:p>
    <w:p w14:paraId="1A6A2016" w14:textId="77777777" w:rsidR="005E5891" w:rsidRDefault="005E5891">
      <w:pPr>
        <w:tabs>
          <w:tab w:val="left" w:pos="3686"/>
        </w:tabs>
      </w:pPr>
    </w:p>
    <w:p w14:paraId="06CD1CD0" w14:textId="5F11D312" w:rsidR="00513BC4" w:rsidRDefault="00000000">
      <w:pPr>
        <w:tabs>
          <w:tab w:val="left" w:pos="3686"/>
        </w:tabs>
      </w:pPr>
      <w:r>
        <w:t>Witness name (PRINT NAME):</w:t>
      </w:r>
      <w:r>
        <w:tab/>
      </w:r>
      <w:r>
        <w:rPr>
          <w:color w:val="D9D9D9" w:themeColor="background1" w:themeShade="D9"/>
        </w:rPr>
        <w:t>_____________________________________________</w:t>
      </w:r>
    </w:p>
    <w:p w14:paraId="28533356" w14:textId="6BBFF55A" w:rsidR="00513BC4" w:rsidRDefault="00000000" w:rsidP="005E5891">
      <w:pPr>
        <w:tabs>
          <w:tab w:val="left" w:pos="3686"/>
        </w:tabs>
      </w:pPr>
      <w:r>
        <w:t>Witness address (PRINT ADDRESS):</w:t>
      </w:r>
      <w:r>
        <w:tab/>
      </w:r>
    </w:p>
    <w:p w14:paraId="1AE5413D" w14:textId="77777777" w:rsidR="00513BC4" w:rsidRDefault="00000000">
      <w:pPr>
        <w:tabs>
          <w:tab w:val="left" w:pos="3686"/>
        </w:tabs>
      </w:pPr>
      <w:r>
        <w:tab/>
      </w:r>
      <w:r>
        <w:rPr>
          <w:color w:val="D9D9D9" w:themeColor="background1" w:themeShade="D9"/>
        </w:rPr>
        <w:t>_____________________________________________</w:t>
      </w:r>
    </w:p>
    <w:p w14:paraId="3B6B1D8D" w14:textId="77777777" w:rsidR="005E5891" w:rsidRDefault="00000000" w:rsidP="005E5891">
      <w:pPr>
        <w:tabs>
          <w:tab w:val="left" w:pos="3686"/>
        </w:tabs>
        <w:rPr>
          <w:color w:val="D9D9D9" w:themeColor="background1" w:themeShade="D9"/>
        </w:rPr>
      </w:pPr>
      <w:r>
        <w:t>Witness telephone number</w:t>
      </w:r>
      <w:bookmarkStart w:id="0" w:name="_Hlk164943737"/>
      <w:r w:rsidR="005E5891">
        <w:t xml:space="preserve"> </w:t>
      </w:r>
      <w:r w:rsidR="005D3C55" w:rsidRPr="005D3C55">
        <w:rPr>
          <w:b/>
          <w:bCs/>
        </w:rPr>
        <w:t>07956304430</w:t>
      </w:r>
      <w:bookmarkEnd w:id="0"/>
      <w:r>
        <w:rPr>
          <w:color w:val="D9D9D9" w:themeColor="background1" w:themeShade="D9"/>
        </w:rPr>
        <w:t>________________________________________</w:t>
      </w:r>
    </w:p>
    <w:p w14:paraId="27D1C081" w14:textId="77777777" w:rsidR="005E5891" w:rsidRDefault="00000000" w:rsidP="005E5891">
      <w:pPr>
        <w:tabs>
          <w:tab w:val="left" w:pos="3686"/>
        </w:tabs>
        <w:rPr>
          <w:color w:val="D9D9D9" w:themeColor="background1" w:themeShade="D9"/>
        </w:rPr>
      </w:pPr>
      <w:r>
        <w:rPr>
          <w:color w:val="D9D9D9" w:themeColor="background1" w:themeShade="D9"/>
        </w:rPr>
        <w:t>_</w:t>
      </w:r>
    </w:p>
    <w:p w14:paraId="0D51CA85" w14:textId="1A2416BB" w:rsidR="00513BC4" w:rsidRDefault="00000000" w:rsidP="005E5891">
      <w:pPr>
        <w:tabs>
          <w:tab w:val="left" w:pos="3686"/>
        </w:tabs>
      </w:pPr>
      <w:r>
        <w:t>Witness signature</w:t>
      </w:r>
      <w:r>
        <w:rPr>
          <w:color w:val="D9D9D9" w:themeColor="background1" w:themeShade="D9"/>
        </w:rPr>
        <w:t>_</w:t>
      </w:r>
    </w:p>
    <w:p w14:paraId="15D3104F" w14:textId="77777777" w:rsidR="00513BC4" w:rsidRDefault="00513BC4">
      <w:pPr>
        <w:rPr>
          <w:sz w:val="12"/>
          <w:szCs w:val="12"/>
        </w:rPr>
      </w:pPr>
    </w:p>
    <w:p w14:paraId="5D255ED2" w14:textId="77777777" w:rsidR="00513BC4" w:rsidRDefault="00513BC4">
      <w:pPr>
        <w:rPr>
          <w:sz w:val="12"/>
          <w:szCs w:val="12"/>
        </w:rPr>
      </w:pPr>
    </w:p>
    <w:sectPr w:rsidR="00513BC4" w:rsidSect="006446E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F663" w14:textId="77777777" w:rsidR="006446E9" w:rsidRDefault="006446E9">
      <w:pPr>
        <w:spacing w:after="0" w:line="240" w:lineRule="auto"/>
      </w:pPr>
      <w:r>
        <w:separator/>
      </w:r>
    </w:p>
  </w:endnote>
  <w:endnote w:type="continuationSeparator" w:id="0">
    <w:p w14:paraId="72D72D63" w14:textId="77777777" w:rsidR="006446E9" w:rsidRDefault="0064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49C5" w14:textId="77777777" w:rsidR="006446E9" w:rsidRDefault="006446E9">
      <w:pPr>
        <w:spacing w:after="0" w:line="240" w:lineRule="auto"/>
      </w:pPr>
      <w:r>
        <w:separator/>
      </w:r>
    </w:p>
  </w:footnote>
  <w:footnote w:type="continuationSeparator" w:id="0">
    <w:p w14:paraId="2EA6B5A7" w14:textId="77777777" w:rsidR="006446E9" w:rsidRDefault="00644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B87"/>
    <w:multiLevelType w:val="multilevel"/>
    <w:tmpl w:val="825EEA56"/>
    <w:styleLink w:val="NLContentsNumberedListStyle"/>
    <w:lvl w:ilvl="0">
      <w:start w:val="1"/>
      <w:numFmt w:val="decimal"/>
      <w:lvlText w:val="%1."/>
      <w:lvlJc w:val="left"/>
      <w:pPr>
        <w:ind w:left="720" w:hanging="720"/>
      </w:pPr>
      <w:rPr>
        <w:rFonts w:hint="default"/>
      </w:rPr>
    </w:lvl>
    <w:lvl w:ilvl="1">
      <w:start w:val="1"/>
      <w:numFmt w:val="decimal"/>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D6E0F"/>
    <w:multiLevelType w:val="multilevel"/>
    <w:tmpl w:val="96FCE9BA"/>
    <w:styleLink w:val="NLNumberedBodyListStyl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24AB5AA4"/>
    <w:multiLevelType w:val="multilevel"/>
    <w:tmpl w:val="E638A8A2"/>
    <w:lvl w:ilvl="0">
      <w:start w:val="1"/>
      <w:numFmt w:val="decimal"/>
      <w:lvlText w:val="%1."/>
      <w:lvlJc w:val="left"/>
      <w:pPr>
        <w:ind w:left="360" w:hanging="360"/>
      </w:pPr>
      <w:rPr>
        <w:rFonts w:hint="default"/>
      </w:rPr>
    </w:lvl>
    <w:lvl w:ilvl="1">
      <w:start w:val="1"/>
      <w:numFmt w:val="decimal"/>
      <w:pStyle w:val="ListParagraphLevel1"/>
      <w:lvlText w:val="%1.%2."/>
      <w:lvlJc w:val="left"/>
      <w:pPr>
        <w:ind w:left="1134"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ParagraphLevel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637F6B"/>
    <w:multiLevelType w:val="multilevel"/>
    <w:tmpl w:val="D3BC7380"/>
    <w:styleLink w:val="Style1"/>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1134" w:hanging="709"/>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5151243"/>
    <w:multiLevelType w:val="multilevel"/>
    <w:tmpl w:val="B23A1268"/>
    <w:styleLink w:val="NLAltNumberedListStyl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EB0018"/>
    <w:multiLevelType w:val="multilevel"/>
    <w:tmpl w:val="81925628"/>
    <w:styleLink w:val="NLNumberedBodyListStyleNoHeadings"/>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6386643">
    <w:abstractNumId w:val="2"/>
  </w:num>
  <w:num w:numId="2" w16cid:durableId="1770390696">
    <w:abstractNumId w:val="1"/>
  </w:num>
  <w:num w:numId="3" w16cid:durableId="165633470">
    <w:abstractNumId w:val="5"/>
  </w:num>
  <w:num w:numId="4" w16cid:durableId="1919628886">
    <w:abstractNumId w:val="4"/>
  </w:num>
  <w:num w:numId="5" w16cid:durableId="277949170">
    <w:abstractNumId w:val="0"/>
  </w:num>
  <w:num w:numId="6" w16cid:durableId="888687492">
    <w:abstractNumId w:val="3"/>
  </w:num>
  <w:num w:numId="7" w16cid:durableId="1380856067">
    <w:abstractNumId w:val="2"/>
  </w:num>
  <w:num w:numId="8" w16cid:durableId="1064134764">
    <w:abstractNumId w:val="2"/>
  </w:num>
  <w:num w:numId="9" w16cid:durableId="421879224">
    <w:abstractNumId w:val="2"/>
  </w:num>
  <w:num w:numId="10" w16cid:durableId="1580140635">
    <w:abstractNumId w:val="2"/>
  </w:num>
  <w:num w:numId="11" w16cid:durableId="1194609397">
    <w:abstractNumId w:val="2"/>
  </w:num>
  <w:num w:numId="12" w16cid:durableId="1339117369">
    <w:abstractNumId w:val="2"/>
  </w:num>
  <w:num w:numId="13" w16cid:durableId="1393238962">
    <w:abstractNumId w:val="2"/>
  </w:num>
  <w:num w:numId="14" w16cid:durableId="959339480">
    <w:abstractNumId w:val="2"/>
  </w:num>
  <w:num w:numId="15" w16cid:durableId="205223062">
    <w:abstractNumId w:val="2"/>
  </w:num>
  <w:num w:numId="16" w16cid:durableId="1098212284">
    <w:abstractNumId w:val="2"/>
  </w:num>
  <w:num w:numId="17" w16cid:durableId="846290965">
    <w:abstractNumId w:val="2"/>
  </w:num>
  <w:num w:numId="18" w16cid:durableId="2001150780">
    <w:abstractNumId w:val="2"/>
  </w:num>
  <w:num w:numId="19" w16cid:durableId="1523401486">
    <w:abstractNumId w:val="2"/>
  </w:num>
  <w:num w:numId="20" w16cid:durableId="382366025">
    <w:abstractNumId w:val="2"/>
  </w:num>
  <w:num w:numId="21" w16cid:durableId="1389694564">
    <w:abstractNumId w:val="2"/>
  </w:num>
  <w:num w:numId="22" w16cid:durableId="660041050">
    <w:abstractNumId w:val="2"/>
  </w:num>
  <w:num w:numId="23" w16cid:durableId="573399525">
    <w:abstractNumId w:val="2"/>
  </w:num>
  <w:num w:numId="24" w16cid:durableId="1940214832">
    <w:abstractNumId w:val="2"/>
  </w:num>
  <w:num w:numId="25" w16cid:durableId="1630278277">
    <w:abstractNumId w:val="2"/>
  </w:num>
  <w:num w:numId="26" w16cid:durableId="505748670">
    <w:abstractNumId w:val="2"/>
  </w:num>
  <w:num w:numId="27" w16cid:durableId="1235551401">
    <w:abstractNumId w:val="2"/>
  </w:num>
  <w:num w:numId="28" w16cid:durableId="1106924250">
    <w:abstractNumId w:val="2"/>
  </w:num>
  <w:num w:numId="29" w16cid:durableId="1872722635">
    <w:abstractNumId w:val="2"/>
  </w:num>
  <w:num w:numId="30" w16cid:durableId="1846548561">
    <w:abstractNumId w:val="2"/>
  </w:num>
  <w:num w:numId="31" w16cid:durableId="297497599">
    <w:abstractNumId w:val="2"/>
  </w:num>
  <w:num w:numId="32" w16cid:durableId="867987859">
    <w:abstractNumId w:val="2"/>
  </w:num>
  <w:num w:numId="33" w16cid:durableId="850219860">
    <w:abstractNumId w:val="2"/>
  </w:num>
  <w:num w:numId="34" w16cid:durableId="1207134587">
    <w:abstractNumId w:val="2"/>
  </w:num>
  <w:num w:numId="35" w16cid:durableId="1881287396">
    <w:abstractNumId w:val="2"/>
  </w:num>
  <w:num w:numId="36" w16cid:durableId="375473600">
    <w:abstractNumId w:val="2"/>
  </w:num>
  <w:num w:numId="37" w16cid:durableId="54671632">
    <w:abstractNumId w:val="2"/>
  </w:num>
  <w:num w:numId="38" w16cid:durableId="1437677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5479119">
    <w:abstractNumId w:val="2"/>
  </w:num>
  <w:num w:numId="40" w16cid:durableId="15272303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ysTQ1sTAwtDAztjRT0lEKTi0uzszPAykwrAUAlH3g9SwAAAA="/>
  </w:docVars>
  <w:rsids>
    <w:rsidRoot w:val="00DB597E"/>
    <w:rsid w:val="00086D6C"/>
    <w:rsid w:val="001466F5"/>
    <w:rsid w:val="001D60F8"/>
    <w:rsid w:val="00254CA6"/>
    <w:rsid w:val="00336612"/>
    <w:rsid w:val="00370E8C"/>
    <w:rsid w:val="003D2EFE"/>
    <w:rsid w:val="004B241F"/>
    <w:rsid w:val="00513BC4"/>
    <w:rsid w:val="005420F4"/>
    <w:rsid w:val="005D3C55"/>
    <w:rsid w:val="005E5891"/>
    <w:rsid w:val="00640FBE"/>
    <w:rsid w:val="006446E9"/>
    <w:rsid w:val="006A582C"/>
    <w:rsid w:val="00721715"/>
    <w:rsid w:val="007B01A5"/>
    <w:rsid w:val="00812D2B"/>
    <w:rsid w:val="008F1B2C"/>
    <w:rsid w:val="009A3910"/>
    <w:rsid w:val="009E7E1C"/>
    <w:rsid w:val="00AD1EF1"/>
    <w:rsid w:val="00B12BF6"/>
    <w:rsid w:val="00C042DF"/>
    <w:rsid w:val="00C24F26"/>
    <w:rsid w:val="00D044BC"/>
    <w:rsid w:val="00D85930"/>
    <w:rsid w:val="00DB597E"/>
    <w:rsid w:val="00E22050"/>
    <w:rsid w:val="00EA3948"/>
    <w:rsid w:val="00F67E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5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264" w:lineRule="auto"/>
      <w:ind w:left="425"/>
    </w:pPr>
  </w:style>
  <w:style w:type="paragraph" w:styleId="Heading1">
    <w:name w:val="heading 1"/>
    <w:basedOn w:val="Normal"/>
    <w:next w:val="Normal"/>
    <w:link w:val="Heading1Char"/>
    <w:uiPriority w:val="9"/>
    <w:qFormat/>
    <w:pPr>
      <w:keepNext/>
      <w:keepLines/>
      <w:spacing w:after="240"/>
      <w:outlineLvl w:val="0"/>
    </w:pPr>
    <w:rPr>
      <w:rFonts w:ascii="Calibri" w:eastAsiaTheme="majorEastAsia" w:hAnsi="Calibri" w:cstheme="majorBidi"/>
      <w:color w:val="4472C4" w:themeColor="accent1"/>
      <w:sz w:val="40"/>
      <w:szCs w:val="32"/>
    </w:rPr>
  </w:style>
  <w:style w:type="paragraph" w:styleId="Heading2">
    <w:name w:val="heading 2"/>
    <w:next w:val="Normal"/>
    <w:link w:val="Heading2Char"/>
    <w:uiPriority w:val="9"/>
    <w:unhideWhenUsed/>
    <w:qFormat/>
    <w:pPr>
      <w:keepNext/>
      <w:keepLines/>
      <w:spacing w:before="200" w:after="240" w:line="276" w:lineRule="auto"/>
      <w:outlineLvl w:val="1"/>
    </w:pPr>
    <w:rPr>
      <w:rFonts w:ascii="Arial" w:eastAsia="Times New Roman" w:hAnsi="Arial" w:cs="Times New Roman"/>
      <w:b/>
      <w:bCs/>
      <w:sz w:val="32"/>
      <w:szCs w:val="26"/>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libri" w:eastAsiaTheme="majorEastAsia" w:hAnsi="Calibri" w:cstheme="majorBidi"/>
      <w:color w:val="4472C4" w:themeColor="accent1"/>
      <w:sz w:val="40"/>
      <w:szCs w:val="32"/>
    </w:rPr>
  </w:style>
  <w:style w:type="paragraph" w:styleId="ListParagraph">
    <w:name w:val="List Paragraph"/>
    <w:basedOn w:val="Normal"/>
    <w:link w:val="ListParagraphChar"/>
    <w:uiPriority w:val="34"/>
    <w:qFormat/>
    <w:pPr>
      <w:spacing w:before="120" w:after="240"/>
    </w:pPr>
    <w:rPr>
      <w:b/>
    </w:rPr>
  </w:style>
  <w:style w:type="table" w:styleId="TableGrid">
    <w:name w:val="Table Grid"/>
    <w:basedOn w:val="TableNormal"/>
    <w:uiPriority w:val="59"/>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odyCondensed">
    <w:name w:val="Table Body Condensed"/>
    <w:qFormat/>
    <w:pPr>
      <w:spacing w:after="120" w:line="276" w:lineRule="auto"/>
    </w:pPr>
    <w:rPr>
      <w:rFonts w:eastAsia="Calibri" w:cs="Times New Roman"/>
    </w:rPr>
  </w:style>
  <w:style w:type="paragraph" w:customStyle="1" w:styleId="ListParagraphLevel1">
    <w:name w:val="List Paragraph Level 1"/>
    <w:link w:val="ListParagraphLevel1Char"/>
    <w:qFormat/>
    <w:pPr>
      <w:numPr>
        <w:ilvl w:val="1"/>
        <w:numId w:val="1"/>
      </w:numPr>
      <w:spacing w:before="220" w:after="220" w:line="264" w:lineRule="auto"/>
    </w:pPr>
  </w:style>
  <w:style w:type="paragraph" w:customStyle="1" w:styleId="NoNumberingLevel1">
    <w:name w:val="No Numbering Level 1"/>
    <w:link w:val="NoNumberingLevel1Char"/>
    <w:qFormat/>
    <w:pPr>
      <w:ind w:left="357"/>
    </w:pPr>
  </w:style>
  <w:style w:type="character" w:customStyle="1" w:styleId="ListParagraphChar">
    <w:name w:val="List Paragraph Char"/>
    <w:basedOn w:val="DefaultParagraphFont"/>
    <w:link w:val="ListParagraph"/>
    <w:uiPriority w:val="34"/>
    <w:rPr>
      <w:b/>
    </w:rPr>
  </w:style>
  <w:style w:type="character" w:customStyle="1" w:styleId="ListParagraphLevel1Char">
    <w:name w:val="List Paragraph Level 1 Char"/>
    <w:basedOn w:val="ListParagraphChar"/>
    <w:link w:val="ListParagraphLevel1"/>
    <w:rPr>
      <w:b w:val="0"/>
    </w:rPr>
  </w:style>
  <w:style w:type="character" w:customStyle="1" w:styleId="NoNumberingLevel1Char">
    <w:name w:val="No Numbering Level 1 Char"/>
    <w:basedOn w:val="ListParagraphLevel1Char"/>
    <w:link w:val="NoNumberingLevel1"/>
    <w:rPr>
      <w:b w:val="0"/>
    </w:rPr>
  </w:style>
  <w:style w:type="character" w:customStyle="1" w:styleId="Heading2Char">
    <w:name w:val="Heading 2 Char"/>
    <w:basedOn w:val="DefaultParagraphFont"/>
    <w:link w:val="Heading2"/>
    <w:uiPriority w:val="9"/>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rPr>
  </w:style>
  <w:style w:type="numbering" w:customStyle="1" w:styleId="NLNumberedBodyListStyle">
    <w:name w:val="NL Numbered Body List Style"/>
    <w:uiPriority w:val="99"/>
    <w:pPr>
      <w:numPr>
        <w:numId w:val="2"/>
      </w:numPr>
    </w:pPr>
  </w:style>
  <w:style w:type="character" w:styleId="Strong">
    <w:name w:val="Strong"/>
    <w:basedOn w:val="DefaultParagraphFont"/>
    <w:uiPriority w:val="22"/>
    <w:unhideWhenUsed/>
    <w:qFormat/>
    <w:rPr>
      <w:b/>
      <w:bCs/>
    </w:rPr>
  </w:style>
  <w:style w:type="numbering" w:customStyle="1" w:styleId="NLNumberedBodyListStyleNoHeadings">
    <w:name w:val="NL Numbered Body List Style (No Headings)"/>
    <w:uiPriority w:val="99"/>
    <w:pPr>
      <w:numPr>
        <w:numId w:val="3"/>
      </w:numPr>
    </w:p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TOCHeading">
    <w:name w:val="TOC Heading"/>
    <w:basedOn w:val="Heading1"/>
    <w:next w:val="Normal"/>
    <w:uiPriority w:val="39"/>
    <w:semiHidden/>
    <w:unhideWhenUsed/>
    <w:qFormat/>
    <w:pPr>
      <w:spacing w:before="480" w:after="0" w:line="276" w:lineRule="auto"/>
      <w:outlineLvl w:val="9"/>
    </w:pPr>
    <w:rPr>
      <w:rFonts w:ascii="Cambria" w:eastAsia="Times New Roman" w:hAnsi="Cambria" w:cs="Times New Roman"/>
      <w:b/>
      <w:bCs/>
      <w:color w:val="365F91"/>
      <w:sz w:val="28"/>
      <w:szCs w:val="28"/>
      <w:lang w:val="en-US"/>
    </w:rPr>
  </w:style>
  <w:style w:type="paragraph" w:styleId="TOC1">
    <w:name w:val="toc 1"/>
    <w:basedOn w:val="Normal"/>
    <w:next w:val="Normal"/>
    <w:autoRedefine/>
    <w:uiPriority w:val="39"/>
    <w:semiHidden/>
    <w:unhideWhenUsed/>
    <w:pPr>
      <w:spacing w:before="240" w:after="240" w:line="276" w:lineRule="auto"/>
    </w:pPr>
    <w:rPr>
      <w:rFonts w:ascii="Arial" w:eastAsia="Calibri" w:hAnsi="Arial" w:cs="Times New Roman"/>
      <w:sz w:val="24"/>
    </w:rPr>
  </w:style>
  <w:style w:type="paragraph" w:styleId="TOC2">
    <w:name w:val="toc 2"/>
    <w:basedOn w:val="Normal"/>
    <w:next w:val="Normal"/>
    <w:autoRedefine/>
    <w:uiPriority w:val="39"/>
    <w:semiHidden/>
    <w:unhideWhenUsed/>
    <w:pPr>
      <w:spacing w:before="240" w:after="240" w:line="276" w:lineRule="auto"/>
      <w:ind w:left="240"/>
    </w:pPr>
    <w:rPr>
      <w:rFonts w:ascii="Arial" w:eastAsia="Calibri" w:hAnsi="Arial" w:cs="Times New Roman"/>
      <w:sz w:val="24"/>
    </w:rPr>
  </w:style>
  <w:style w:type="paragraph" w:styleId="TOC3">
    <w:name w:val="toc 3"/>
    <w:basedOn w:val="Normal"/>
    <w:next w:val="Normal"/>
    <w:autoRedefine/>
    <w:uiPriority w:val="39"/>
    <w:semiHidden/>
    <w:unhideWhenUsed/>
    <w:pPr>
      <w:spacing w:after="100" w:line="276" w:lineRule="auto"/>
      <w:ind w:left="440"/>
    </w:pPr>
    <w:rPr>
      <w:rFonts w:ascii="Calibri" w:eastAsia="Times New Roman" w:hAnsi="Calibri" w:cs="Times New Roman"/>
      <w:lang w:val="en-US"/>
    </w:rPr>
  </w:style>
  <w:style w:type="paragraph" w:styleId="TOC4">
    <w:name w:val="toc 4"/>
    <w:basedOn w:val="Normal"/>
    <w:next w:val="Normal"/>
    <w:autoRedefine/>
    <w:uiPriority w:val="39"/>
    <w:semiHidden/>
    <w:unhideWhenUsed/>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semiHidden/>
    <w:unhideWhenUsed/>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semiHidden/>
    <w:unhideWhenUsed/>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semiHidden/>
    <w:unhideWhenUsed/>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semiHidden/>
    <w:unhideWhenUsed/>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semiHidden/>
    <w:unhideWhenUsed/>
    <w:pPr>
      <w:spacing w:after="100" w:line="276" w:lineRule="auto"/>
      <w:ind w:left="1760"/>
    </w:pPr>
    <w:rPr>
      <w:rFonts w:ascii="Calibri" w:eastAsia="Times New Roman" w:hAnsi="Calibri" w:cs="Times New Roman"/>
      <w:lang w:val="en-US"/>
    </w:rPr>
  </w:style>
  <w:style w:type="character" w:styleId="Hyperlink">
    <w:name w:val="Hyperlink"/>
    <w:basedOn w:val="DefaultParagraphFont"/>
    <w:uiPriority w:val="99"/>
    <w:unhideWhenUsed/>
    <w:rPr>
      <w:color w:val="0000FF"/>
      <w:u w:val="single"/>
    </w:rPr>
  </w:style>
  <w:style w:type="numbering" w:customStyle="1" w:styleId="NLAltNumberedListStyle">
    <w:name w:val="NL Alt Numbered List Style"/>
    <w:uiPriority w:val="99"/>
    <w:pPr>
      <w:numPr>
        <w:numId w:val="4"/>
      </w:numPr>
    </w:pPr>
  </w:style>
  <w:style w:type="numbering" w:customStyle="1" w:styleId="NLContentsNumberedListStyle">
    <w:name w:val="NL Contents Numbered List Style"/>
    <w:uiPriority w:val="99"/>
    <w:pPr>
      <w:numPr>
        <w:numId w:val="5"/>
      </w:numPr>
    </w:pPr>
  </w:style>
  <w:style w:type="numbering" w:customStyle="1" w:styleId="Style1">
    <w:name w:val="Style1"/>
    <w:uiPriority w:val="99"/>
    <w:pPr>
      <w:numPr>
        <w:numId w:val="6"/>
      </w:numPr>
    </w:pPr>
  </w:style>
  <w:style w:type="paragraph" w:customStyle="1" w:styleId="ListParagraphLevel2">
    <w:name w:val="List Paragraph Level 2"/>
    <w:basedOn w:val="ListParagraphLevel1"/>
    <w:qFormat/>
    <w:pPr>
      <w:numPr>
        <w:ilvl w:val="2"/>
      </w:numPr>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20FE-1C91-48DE-8839-964BBBB8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4176</Words>
  <Characters>20097</Characters>
  <Application>Microsoft Office Word</Application>
  <DocSecurity>0</DocSecurity>
  <Lines>371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2024-04-26T15:22:00Z</dcterms:created>
  <dcterms:modified xsi:type="dcterms:W3CDTF">2024-04-26T15:22:00Z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23f599a387e5f031dea9b7069001aa6e47300121b49486e3134a1ce04db4b185</vt:lpwstr>
  </property>
</Properties>
</file>